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CBDB25" w14:textId="77777777" w:rsidR="004A081B" w:rsidRPr="004C0C8B" w:rsidRDefault="00C90269" w:rsidP="004E6B59">
      <w:pPr>
        <w:jc w:val="center"/>
        <w:rPr>
          <w:sz w:val="32"/>
          <w:szCs w:val="32"/>
        </w:rPr>
      </w:pPr>
      <w:r w:rsidRPr="004C0C8B">
        <w:rPr>
          <w:sz w:val="32"/>
          <w:szCs w:val="32"/>
        </w:rPr>
        <w:t>光合成反応初期過程</w:t>
      </w:r>
      <w:r w:rsidR="00E2391D" w:rsidRPr="004C0C8B">
        <w:rPr>
          <w:sz w:val="32"/>
          <w:szCs w:val="32"/>
        </w:rPr>
        <w:t>における超高速エネルギー移動</w:t>
      </w:r>
    </w:p>
    <w:p w14:paraId="36A2FA80" w14:textId="77777777" w:rsidR="00C829C3" w:rsidRPr="004C0C8B" w:rsidRDefault="004E6B59" w:rsidP="004E6B59">
      <w:pPr>
        <w:jc w:val="right"/>
      </w:pPr>
      <w:r w:rsidRPr="004C0C8B">
        <w:t>三木雅仁、米田勇祐、森本智英、松村隆史、山内卓弥、森下直樹</w:t>
      </w:r>
    </w:p>
    <w:p w14:paraId="2570D519" w14:textId="77777777" w:rsidR="007F3C01" w:rsidRPr="004C0C8B" w:rsidRDefault="007F3C01"/>
    <w:p w14:paraId="74ABD654" w14:textId="77777777" w:rsidR="004E6B59" w:rsidRPr="004C0C8B" w:rsidRDefault="00AF69F4">
      <w:pPr>
        <w:rPr>
          <w:u w:val="single"/>
        </w:rPr>
      </w:pPr>
      <w:r w:rsidRPr="004C0C8B">
        <w:rPr>
          <w:u w:val="single"/>
        </w:rPr>
        <w:t>光合成とは</w:t>
      </w:r>
    </w:p>
    <w:p w14:paraId="7F4A41D5" w14:textId="5B3DC962" w:rsidR="00AF69F4" w:rsidRPr="004C0C8B" w:rsidRDefault="00AF69F4" w:rsidP="00AC3AE7">
      <w:r w:rsidRPr="004C0C8B">
        <w:t xml:space="preserve">　</w:t>
      </w:r>
      <w:r w:rsidR="00AC3AE7" w:rsidRPr="004C0C8B">
        <w:t>炭水化物を酸化する代謝とは逆に、光エネルギーを利用して炭素を還元する生化学反応である。</w:t>
      </w:r>
      <w:r w:rsidR="00971CBD" w:rsidRPr="004C0C8B">
        <w:t>ここでは機能</w:t>
      </w:r>
      <w:r w:rsidR="006E7EAD" w:rsidRPr="004C0C8B">
        <w:t>が</w:t>
      </w:r>
      <w:r w:rsidR="00971CBD" w:rsidRPr="004C0C8B">
        <w:t>単純</w:t>
      </w:r>
      <w:r w:rsidR="006E7EAD" w:rsidRPr="004C0C8B">
        <w:t>は</w:t>
      </w:r>
      <w:r w:rsidR="00971CBD" w:rsidRPr="004C0C8B">
        <w:t>紅色光合成細菌の光合成反応初期過程における超高速エネルギー移動について述べる。</w:t>
      </w:r>
    </w:p>
    <w:p w14:paraId="5ECC892E" w14:textId="53E8F9C8" w:rsidR="00AF69F4" w:rsidRPr="004C0C8B" w:rsidRDefault="00AF69F4"/>
    <w:p w14:paraId="67B78CD7" w14:textId="5555DDE1" w:rsidR="004E6B59" w:rsidRPr="004C0C8B" w:rsidRDefault="004E6B59">
      <w:pPr>
        <w:rPr>
          <w:u w:val="single"/>
        </w:rPr>
      </w:pPr>
      <w:r w:rsidRPr="004C0C8B">
        <w:rPr>
          <w:u w:val="single"/>
        </w:rPr>
        <w:t>光合成反応初期過程</w:t>
      </w:r>
    </w:p>
    <w:p w14:paraId="07A2F9DD" w14:textId="4CD4A439" w:rsidR="00246D43" w:rsidRPr="004C0C8B" w:rsidRDefault="0070417A" w:rsidP="001120AF">
      <w:pPr>
        <w:ind w:firstLineChars="100" w:firstLine="210"/>
      </w:pPr>
      <w:r>
        <w:rPr>
          <w:noProof/>
        </w:rPr>
        <w:object w:dxaOrig="1440" w:dyaOrig="1440" w14:anchorId="553D7C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4.7pt;margin-top:254.15pt;width:170.25pt;height:82.3pt;z-index:251695104;mso-position-horizontal-relative:text;mso-position-vertical-relative:text">
            <v:imagedata r:id="rId8" o:title=""/>
            <w10:wrap type="square"/>
          </v:shape>
          <o:OLEObject Type="Embed" ProgID="ChemDraw.Document.6.0" ShapeID="_x0000_s1026" DrawAspect="Content" ObjectID="_1467049896" r:id="rId9"/>
        </w:object>
      </w:r>
      <w:r w:rsidR="00CA183C" w:rsidRPr="004C0C8B">
        <w:rPr>
          <w:noProof/>
        </w:rPr>
        <w:drawing>
          <wp:anchor distT="0" distB="0" distL="114300" distR="114300" simplePos="0" relativeHeight="251656704" behindDoc="0" locked="0" layoutInCell="1" allowOverlap="1" wp14:anchorId="115D8CC8" wp14:editId="14ACF64D">
            <wp:simplePos x="0" y="0"/>
            <wp:positionH relativeFrom="margin">
              <wp:posOffset>2588260</wp:posOffset>
            </wp:positionH>
            <wp:positionV relativeFrom="margin">
              <wp:posOffset>2320925</wp:posOffset>
            </wp:positionV>
            <wp:extent cx="2807335" cy="3228975"/>
            <wp:effectExtent l="0" t="0" r="0" b="952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7335"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431C" w:rsidRPr="004C0C8B">
        <w:t>光を利用した反応</w:t>
      </w:r>
      <w:r w:rsidR="00AF69F4" w:rsidRPr="004C0C8B">
        <w:t>は</w:t>
      </w:r>
      <w:r w:rsidR="00FD431C" w:rsidRPr="004C0C8B">
        <w:t>、細胞内の</w:t>
      </w:r>
      <w:r w:rsidR="00AF69F4" w:rsidRPr="004C0C8B">
        <w:t>光合成膜で行われる。</w:t>
      </w:r>
      <w:r w:rsidR="00FD431C" w:rsidRPr="004C0C8B">
        <w:t>光合成膜上での反応は「光捕集」、「電荷分離」、「プロトンの濃度勾配の生成」、「</w:t>
      </w:r>
      <w:r w:rsidR="00FD431C" w:rsidRPr="004C0C8B">
        <w:t>ATP</w:t>
      </w:r>
      <w:r w:rsidR="00FD431C" w:rsidRPr="004C0C8B">
        <w:t>の合成」という段階に分けられる。</w:t>
      </w:r>
      <w:r w:rsidR="006E7EAD" w:rsidRPr="004C0C8B">
        <w:t>まず光捕集の段階では、</w:t>
      </w:r>
      <w:r w:rsidR="006E7EAD" w:rsidRPr="004C0C8B">
        <w:t>Light-harvesting complex 2 (LH2)</w:t>
      </w:r>
      <w:r w:rsidR="006E7EAD" w:rsidRPr="004C0C8B">
        <w:t>や</w:t>
      </w:r>
      <w:r w:rsidR="006E7EAD" w:rsidRPr="004C0C8B">
        <w:t>LH1</w:t>
      </w:r>
      <w:r w:rsidR="006E7EAD" w:rsidRPr="004C0C8B">
        <w:t>と呼ばれる光捕集アンテナ</w:t>
      </w:r>
      <w:r w:rsidR="003C171B" w:rsidRPr="004C0C8B">
        <w:t>色素</w:t>
      </w:r>
      <w:r w:rsidR="006E7EAD" w:rsidRPr="004C0C8B">
        <w:t>タンパク質複合体</w:t>
      </w:r>
      <w:r w:rsidR="00DF55B0" w:rsidRPr="004C0C8B">
        <w:t>が</w:t>
      </w:r>
      <w:r w:rsidR="006E7EAD" w:rsidRPr="004C0C8B">
        <w:t>光を捕集する。</w:t>
      </w:r>
      <w:r w:rsidR="00DF55B0" w:rsidRPr="004C0C8B">
        <w:t>その</w:t>
      </w:r>
      <w:r w:rsidR="006E7EAD" w:rsidRPr="004C0C8B">
        <w:t>励起エネルギーはアンテナ複合体間を経て、光合成反応中心</w:t>
      </w:r>
      <w:r w:rsidR="006E7EAD" w:rsidRPr="004C0C8B">
        <w:t xml:space="preserve"> (Reaction Center: </w:t>
      </w:r>
      <w:r w:rsidR="00A0234A" w:rsidRPr="004C0C8B">
        <w:t>RC</w:t>
      </w:r>
      <w:r w:rsidR="006E7EAD" w:rsidRPr="004C0C8B">
        <w:t>)</w:t>
      </w:r>
      <w:r w:rsidR="006E7EAD" w:rsidRPr="004C0C8B">
        <w:t>へと集約される</w:t>
      </w:r>
      <w:r w:rsidR="00A0234A" w:rsidRPr="004C0C8B">
        <w:t>。</w:t>
      </w:r>
      <w:r w:rsidR="00A0234A" w:rsidRPr="004C0C8B">
        <w:t>RC</w:t>
      </w:r>
      <w:r w:rsidR="00A0234A" w:rsidRPr="004C0C8B">
        <w:t>で</w:t>
      </w:r>
      <w:r w:rsidR="006E7EAD" w:rsidRPr="004C0C8B">
        <w:t>は集約された励起エネルギーを利用して</w:t>
      </w:r>
      <w:r w:rsidR="00A0234A" w:rsidRPr="004C0C8B">
        <w:t>電荷分離</w:t>
      </w:r>
      <w:r w:rsidR="006E7EAD" w:rsidRPr="004C0C8B">
        <w:t>を起こし</w:t>
      </w:r>
      <w:r w:rsidR="00A0234A" w:rsidRPr="004C0C8B">
        <w:t>、</w:t>
      </w:r>
      <w:r w:rsidR="006E7EAD" w:rsidRPr="004C0C8B">
        <w:t>生じた電子を用いて</w:t>
      </w:r>
      <w:r w:rsidR="00DF55B0" w:rsidRPr="004C0C8B">
        <w:t>キノンを</w:t>
      </w:r>
      <w:r w:rsidR="00A0234A" w:rsidRPr="004C0C8B">
        <w:t>ヒドロキノンへ還元する。</w:t>
      </w:r>
      <w:r w:rsidR="00DF55B0" w:rsidRPr="004C0C8B">
        <w:t>その後</w:t>
      </w:r>
      <w:r w:rsidR="00BB51D4" w:rsidRPr="004C0C8B">
        <w:t xml:space="preserve">cytochrome </w:t>
      </w:r>
      <w:r w:rsidR="00DF55B0" w:rsidRPr="004C0C8B">
        <w:t>bc</w:t>
      </w:r>
      <w:r w:rsidR="00DF55B0" w:rsidRPr="004C0C8B">
        <w:rPr>
          <w:vertAlign w:val="subscript"/>
        </w:rPr>
        <w:t>1</w:t>
      </w:r>
      <w:r w:rsidR="00DF55B0" w:rsidRPr="004C0C8B">
        <w:t>でヒ</w:t>
      </w:r>
      <w:r w:rsidR="005C5CB1" w:rsidRPr="004C0C8B">
        <w:t>ドロキノンは再び酸化されて膜の内外でプロトンの濃度勾配を作り出す。こうして出来たプロトンの濃度勾配を利用して、</w:t>
      </w:r>
      <w:r w:rsidR="00246D43" w:rsidRPr="004C0C8B">
        <w:t>ATP</w:t>
      </w:r>
      <w:r w:rsidR="00246D43" w:rsidRPr="004C0C8B">
        <w:t>合成酵素</w:t>
      </w:r>
      <w:r w:rsidR="00BB51D4" w:rsidRPr="004C0C8B">
        <w:t xml:space="preserve"> (ATP synthaze)</w:t>
      </w:r>
      <w:r w:rsidR="00246D43" w:rsidRPr="004C0C8B">
        <w:t>で</w:t>
      </w:r>
      <w:r w:rsidR="005C5CB1" w:rsidRPr="004C0C8B">
        <w:t>ATP</w:t>
      </w:r>
      <w:r w:rsidR="00246D43" w:rsidRPr="004C0C8B">
        <w:t>を生成する。</w:t>
      </w:r>
      <w:r w:rsidR="000A7161" w:rsidRPr="004C0C8B">
        <w:t>以上が光合成膜上における紅色光合成細菌の光合成反応初期過程の概観であるが、ここではこの中でエネルギー捕集の段階について詳しく説明を行う。</w:t>
      </w:r>
    </w:p>
    <w:p w14:paraId="12583A07" w14:textId="77777777" w:rsidR="00AF69F4" w:rsidRPr="004C0C8B" w:rsidRDefault="00AF69F4" w:rsidP="00A0234A"/>
    <w:p w14:paraId="5DB6CE7F" w14:textId="77777777" w:rsidR="00497E8E" w:rsidRPr="004C0C8B" w:rsidRDefault="00C5377D">
      <w:pPr>
        <w:rPr>
          <w:u w:val="single"/>
        </w:rPr>
      </w:pPr>
      <w:r w:rsidRPr="004C0C8B">
        <w:rPr>
          <w:u w:val="single"/>
        </w:rPr>
        <w:t>フェルスターの理論と励起エネルギー移動</w:t>
      </w:r>
    </w:p>
    <w:p w14:paraId="491CC191" w14:textId="77777777" w:rsidR="00185FB9" w:rsidRPr="004C0C8B" w:rsidRDefault="00C5377D" w:rsidP="00185FB9">
      <w:pPr>
        <w:ind w:firstLineChars="100" w:firstLine="210"/>
      </w:pPr>
      <w:r w:rsidRPr="004C0C8B">
        <w:t>光合成反応におけるエネルギー捕集の前に、エネルギー移動の理論について述べる。</w:t>
      </w:r>
      <w:r w:rsidR="00185FB9" w:rsidRPr="004C0C8B">
        <w:t>ドナー分子</w:t>
      </w:r>
      <w:r w:rsidR="00185FB9" w:rsidRPr="004C0C8B">
        <w:t>D</w:t>
      </w:r>
      <w:r w:rsidR="00185FB9" w:rsidRPr="004C0C8B">
        <w:t>とアクセプター分子</w:t>
      </w:r>
      <w:r w:rsidR="00185FB9" w:rsidRPr="004C0C8B">
        <w:t>A</w:t>
      </w:r>
      <w:r w:rsidR="00185FB9" w:rsidRPr="004C0C8B">
        <w:t>の間で進行する</w:t>
      </w:r>
      <w:r w:rsidR="00185FB9" w:rsidRPr="004C0C8B">
        <w:t>D*+A→D+A*</w:t>
      </w:r>
      <w:r w:rsidR="00185FB9" w:rsidRPr="004C0C8B">
        <w:t>という励起エネルギー移動過程を考える。</w:t>
      </w:r>
      <w:r w:rsidR="00185FB9" w:rsidRPr="004C0C8B">
        <w:t>D</w:t>
      </w:r>
      <w:r w:rsidR="00185FB9" w:rsidRPr="004C0C8B">
        <w:t>分子の共鳴振動数</w:t>
      </w:r>
      <w:r w:rsidR="00185FB9" w:rsidRPr="004C0C8B">
        <w:rPr>
          <w:i/>
        </w:rPr>
        <w:t>ν</w:t>
      </w:r>
      <w:r w:rsidR="00185FB9" w:rsidRPr="004C0C8B">
        <w:t>に対応する振動電場を入射すると、そのエネルギーは</w:t>
      </w:r>
      <w:r w:rsidR="00185FB9" w:rsidRPr="004C0C8B">
        <w:t>D</w:t>
      </w:r>
      <w:r w:rsidR="00185FB9" w:rsidRPr="004C0C8B">
        <w:t>に吸収される。</w:t>
      </w:r>
      <w:r w:rsidR="00185FB9" w:rsidRPr="004C0C8B">
        <w:t>D</w:t>
      </w:r>
      <w:r w:rsidR="00185FB9" w:rsidRPr="004C0C8B">
        <w:t>にできる振動双極子は近くにいる</w:t>
      </w:r>
      <w:r w:rsidR="00185FB9" w:rsidRPr="004C0C8B">
        <w:t>A</w:t>
      </w:r>
      <w:r w:rsidR="00185FB9" w:rsidRPr="004C0C8B">
        <w:t>分子に振動双極子を誘起して、そ</w:t>
      </w:r>
      <w:r w:rsidR="00185FB9" w:rsidRPr="004C0C8B">
        <w:lastRenderedPageBreak/>
        <w:t>れに属する電子に影響を与えることが出来る。もし、</w:t>
      </w:r>
      <w:r w:rsidR="00185FB9" w:rsidRPr="004C0C8B">
        <w:t>D</w:t>
      </w:r>
      <w:r w:rsidR="00185FB9" w:rsidRPr="004C0C8B">
        <w:t>の電気双極子モーメントの振動数が</w:t>
      </w:r>
      <w:r w:rsidR="00185FB9" w:rsidRPr="004C0C8B">
        <w:t>A</w:t>
      </w:r>
      <w:r w:rsidR="00185FB9" w:rsidRPr="004C0C8B">
        <w:t>の共鳴振動数と同じ大きさの場合、</w:t>
      </w:r>
      <w:r w:rsidR="00BE6F83" w:rsidRPr="004C0C8B">
        <w:t>A</w:t>
      </w:r>
      <w:r w:rsidR="00185FB9" w:rsidRPr="004C0C8B">
        <w:t>は</w:t>
      </w:r>
      <w:r w:rsidR="00BE6F83" w:rsidRPr="004C0C8B">
        <w:t>D</w:t>
      </w:r>
      <w:r w:rsidR="00185FB9" w:rsidRPr="004C0C8B">
        <w:t>からエネルギーを吸収することが出来る。このような双極子－双極子相互作用による励起エネルギー移動</w:t>
      </w:r>
      <w:r w:rsidR="00BE6F83" w:rsidRPr="004C0C8B">
        <w:t>の機構</w:t>
      </w:r>
      <w:r w:rsidR="00185FB9" w:rsidRPr="004C0C8B">
        <w:t>をフェルスター機構という。</w:t>
      </w:r>
    </w:p>
    <w:p w14:paraId="6F3AB2F0" w14:textId="77777777" w:rsidR="00185FB9" w:rsidRPr="004C0C8B" w:rsidRDefault="00EA64D8" w:rsidP="00185FB9">
      <w:pPr>
        <w:widowControl/>
        <w:ind w:firstLineChars="100" w:firstLine="210"/>
        <w:jc w:val="left"/>
      </w:pPr>
      <w:r w:rsidRPr="004C0C8B">
        <w:t>一般的な有機分子の励起状態寿命は数ナノ秒程度であるため、高効率なエネルギー移動を行うにはその間にいかに高速にエネルギーを移動させるかが重要になる。</w:t>
      </w:r>
      <w:r w:rsidR="00BE6F83" w:rsidRPr="004C0C8B">
        <w:rPr>
          <w:noProof/>
        </w:rPr>
        <w:drawing>
          <wp:anchor distT="0" distB="0" distL="114300" distR="114300" simplePos="0" relativeHeight="251656192" behindDoc="0" locked="0" layoutInCell="1" allowOverlap="1" wp14:anchorId="79BAA60D" wp14:editId="0AEFF1C4">
            <wp:simplePos x="0" y="0"/>
            <wp:positionH relativeFrom="margin">
              <wp:posOffset>2866390</wp:posOffset>
            </wp:positionH>
            <wp:positionV relativeFrom="margin">
              <wp:posOffset>41910</wp:posOffset>
            </wp:positionV>
            <wp:extent cx="2533650" cy="1609725"/>
            <wp:effectExtent l="0" t="0" r="0" b="9525"/>
            <wp:wrapSquare wrapText="bothSides"/>
            <wp:docPr id="34" name="図 34" descr="C:\Users\YUSUKE\Dropbox\研究室\卒業論文\お絵かき\フェルスター機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SUKE\Dropbox\研究室\卒業論文\お絵かき\フェルスター機構.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4519" r="53081" b="868"/>
                    <a:stretch/>
                  </pic:blipFill>
                  <pic:spPr bwMode="auto">
                    <a:xfrm>
                      <a:off x="0" y="0"/>
                      <a:ext cx="2533650" cy="16097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185FB9" w:rsidRPr="004C0C8B">
        <w:t>D*+A→D+A*</w:t>
      </w:r>
      <w:r w:rsidR="00185FB9" w:rsidRPr="004C0C8B">
        <w:t>の励起エネルギー移動の遷移確率</w:t>
      </w:r>
      <w:r w:rsidR="00185FB9" w:rsidRPr="004C0C8B">
        <w:rPr>
          <w:i/>
        </w:rPr>
        <w:t>w</w:t>
      </w:r>
      <w:r w:rsidRPr="004C0C8B">
        <w:t>（エネルギー移動の速度に対応）は</w:t>
      </w:r>
      <w:r w:rsidR="00185FB9" w:rsidRPr="004C0C8B">
        <w:t>、分子間距離</w:t>
      </w:r>
      <w:r w:rsidR="00185FB9" w:rsidRPr="004C0C8B">
        <w:rPr>
          <w:i/>
        </w:rPr>
        <w:t>R</w:t>
      </w:r>
      <w:r w:rsidR="00185FB9" w:rsidRPr="004C0C8B">
        <w:t>の</w:t>
      </w:r>
      <w:r w:rsidR="00185FB9" w:rsidRPr="004C0C8B">
        <w:t>6</w:t>
      </w:r>
      <w:r w:rsidR="00185FB9" w:rsidRPr="004C0C8B">
        <w:t>乗に逆比例し、</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8"/>
        <w:gridCol w:w="6104"/>
        <w:gridCol w:w="1308"/>
      </w:tblGrid>
      <w:tr w:rsidR="00185FB9" w:rsidRPr="004C0C8B" w14:paraId="4B61BD5D" w14:textId="77777777" w:rsidTr="00B14D91">
        <w:tc>
          <w:tcPr>
            <w:tcW w:w="750" w:type="pct"/>
            <w:vAlign w:val="center"/>
          </w:tcPr>
          <w:p w14:paraId="39EF842B" w14:textId="77777777" w:rsidR="00185FB9" w:rsidRPr="004C0C8B" w:rsidRDefault="00185FB9" w:rsidP="00B14D91">
            <w:pPr>
              <w:widowControl/>
              <w:jc w:val="center"/>
              <w:rPr>
                <w:rFonts w:ascii="Times New Roman" w:hAnsi="Times New Roman" w:cs="Times New Roman"/>
              </w:rPr>
            </w:pPr>
          </w:p>
        </w:tc>
        <w:tc>
          <w:tcPr>
            <w:tcW w:w="3500" w:type="pct"/>
            <w:vAlign w:val="center"/>
          </w:tcPr>
          <w:p w14:paraId="34AE3D83" w14:textId="77777777" w:rsidR="00185FB9" w:rsidRPr="004C0C8B" w:rsidRDefault="00185FB9" w:rsidP="00B14D91">
            <w:pPr>
              <w:widowControl/>
              <w:jc w:val="center"/>
              <w:rPr>
                <w:rFonts w:ascii="Times New Roman" w:hAnsi="Times New Roman" w:cs="Times New Roman"/>
              </w:rPr>
            </w:pPr>
            <m:oMathPara>
              <m:oMath>
                <m:r>
                  <w:rPr>
                    <w:rFonts w:ascii="Cambria Math" w:hAnsi="Cambria Math" w:cs="Times New Roman"/>
                  </w:rPr>
                  <m:t>w</m:t>
                </m:r>
                <m:r>
                  <m:rPr>
                    <m:sty m:val="p"/>
                  </m:rPr>
                  <w:rPr>
                    <w:rFonts w:ascii="Cambria Math" w:hAnsi="Cambria Math" w:cs="Times New Roman"/>
                  </w:rPr>
                  <m:t>=</m:t>
                </m:r>
                <m:d>
                  <m:dPr>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1</m:t>
                        </m:r>
                      </m:num>
                      <m:den>
                        <m:sSub>
                          <m:sSubPr>
                            <m:ctrlPr>
                              <w:rPr>
                                <w:rFonts w:ascii="Cambria Math" w:hAnsi="Cambria Math" w:cs="Times New Roman"/>
                              </w:rPr>
                            </m:ctrlPr>
                          </m:sSubPr>
                          <m:e>
                            <m:r>
                              <w:rPr>
                                <w:rFonts w:ascii="Cambria Math" w:hAnsi="Cambria Math" w:cs="Times New Roman"/>
                              </w:rPr>
                              <m:t>τ</m:t>
                            </m:r>
                          </m:e>
                          <m:sub>
                            <m:r>
                              <m:rPr>
                                <m:sty m:val="p"/>
                              </m:rPr>
                              <w:rPr>
                                <w:rFonts w:ascii="Cambria Math" w:hAnsi="Cambria Math" w:cs="Times New Roman"/>
                              </w:rPr>
                              <m:t>0</m:t>
                            </m:r>
                          </m:sub>
                        </m:sSub>
                      </m:den>
                    </m:f>
                  </m:e>
                </m:d>
                <m:r>
                  <m:rPr>
                    <m:sty m:val="p"/>
                  </m:rP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o</m:t>
                                </m:r>
                              </m:sub>
                            </m:sSub>
                          </m:num>
                          <m:den>
                            <m:r>
                              <w:rPr>
                                <w:rFonts w:ascii="Cambria Math" w:hAnsi="Cambria Math" w:cs="Times New Roman"/>
                              </w:rPr>
                              <m:t>R</m:t>
                            </m:r>
                          </m:den>
                        </m:f>
                      </m:e>
                    </m:d>
                  </m:e>
                  <m:sup>
                    <m:r>
                      <w:rPr>
                        <w:rFonts w:ascii="Cambria Math" w:hAnsi="Cambria Math" w:cs="Times New Roman"/>
                      </w:rPr>
                      <m:t>6</m:t>
                    </m:r>
                  </m:sup>
                </m:sSup>
              </m:oMath>
            </m:oMathPara>
          </w:p>
        </w:tc>
        <w:tc>
          <w:tcPr>
            <w:tcW w:w="750" w:type="pct"/>
            <w:vAlign w:val="center"/>
          </w:tcPr>
          <w:p w14:paraId="1B7AA6E7" w14:textId="77777777" w:rsidR="00185FB9" w:rsidRPr="004C0C8B" w:rsidRDefault="00185FB9" w:rsidP="00B14D91">
            <w:pPr>
              <w:pStyle w:val="a5"/>
              <w:widowControl/>
              <w:numPr>
                <w:ilvl w:val="0"/>
                <w:numId w:val="1"/>
              </w:numPr>
              <w:ind w:leftChars="0"/>
              <w:jc w:val="center"/>
              <w:rPr>
                <w:rFonts w:ascii="Times New Roman" w:hAnsi="Times New Roman" w:cs="Times New Roman"/>
              </w:rPr>
            </w:pPr>
          </w:p>
        </w:tc>
      </w:tr>
    </w:tbl>
    <w:p w14:paraId="7FAA83A1" w14:textId="77777777" w:rsidR="00185FB9" w:rsidRPr="004C0C8B" w:rsidRDefault="00185FB9" w:rsidP="00185FB9">
      <w:pPr>
        <w:widowControl/>
        <w:jc w:val="left"/>
      </w:pPr>
      <w:r w:rsidRPr="004C0C8B">
        <w:t>と表される。ここで</w:t>
      </w:r>
      <w:r w:rsidRPr="004C0C8B">
        <w:rPr>
          <w:i/>
        </w:rPr>
        <w:t>τ</w:t>
      </w:r>
      <w:r w:rsidRPr="004C0C8B">
        <w:rPr>
          <w:i/>
          <w:vertAlign w:val="subscript"/>
        </w:rPr>
        <w:t>0</w:t>
      </w:r>
      <w:r w:rsidRPr="004C0C8B">
        <w:t>は</w:t>
      </w:r>
      <w:r w:rsidRPr="004C0C8B">
        <w:t>A</w:t>
      </w:r>
      <w:r w:rsidRPr="004C0C8B">
        <w:t>が無いときの</w:t>
      </w:r>
      <w:r w:rsidRPr="004C0C8B">
        <w:t>D*</w:t>
      </w:r>
      <w:r w:rsidRPr="004C0C8B">
        <w:t>の蛍光寿命、</w:t>
      </w:r>
      <w:r w:rsidRPr="004C0C8B">
        <w:t>R</w:t>
      </w:r>
      <w:r w:rsidRPr="004C0C8B">
        <w:rPr>
          <w:vertAlign w:val="subscript"/>
        </w:rPr>
        <w:t>0</w:t>
      </w:r>
      <w:r w:rsidRPr="004C0C8B">
        <w:t>は励起エネルギー移動の速度が</w:t>
      </w:r>
      <w:r w:rsidRPr="004C0C8B">
        <w:t>τ</w:t>
      </w:r>
      <w:r w:rsidRPr="004C0C8B">
        <w:rPr>
          <w:vertAlign w:val="subscript"/>
        </w:rPr>
        <w:t>0</w:t>
      </w:r>
      <w:r w:rsidRPr="004C0C8B">
        <w:t>と等しくなるときの</w:t>
      </w:r>
      <w:r w:rsidRPr="004C0C8B">
        <w:t>D-A</w:t>
      </w:r>
      <w:r w:rsidRPr="004C0C8B">
        <w:t>分子間距離で、臨界移動距離と呼ばれる</w:t>
      </w:r>
      <w:r w:rsidRPr="004C0C8B">
        <w:t>D*</w:t>
      </w:r>
      <w:r w:rsidRPr="004C0C8B">
        <w:t>と</w:t>
      </w:r>
      <w:r w:rsidRPr="004C0C8B">
        <w:t>A</w:t>
      </w:r>
      <w:r w:rsidRPr="004C0C8B">
        <w:t>の双方に依存した量である。一重項の場合、</w:t>
      </w:r>
      <w:r w:rsidRPr="004C0C8B">
        <w:t>R</w:t>
      </w:r>
      <w:r w:rsidRPr="004C0C8B">
        <w:rPr>
          <w:vertAlign w:val="subscript"/>
        </w:rPr>
        <w:t>0</w:t>
      </w:r>
      <w:r w:rsidRPr="004C0C8B">
        <w:t>は次のように表される。</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8"/>
        <w:gridCol w:w="6104"/>
        <w:gridCol w:w="1308"/>
      </w:tblGrid>
      <w:tr w:rsidR="00185FB9" w:rsidRPr="004C0C8B" w14:paraId="617FA5F9" w14:textId="77777777" w:rsidTr="00B14D91">
        <w:tc>
          <w:tcPr>
            <w:tcW w:w="750" w:type="pct"/>
            <w:vAlign w:val="center"/>
          </w:tcPr>
          <w:p w14:paraId="4B88B871" w14:textId="77777777" w:rsidR="00185FB9" w:rsidRPr="004C0C8B" w:rsidRDefault="00185FB9" w:rsidP="00B14D91">
            <w:pPr>
              <w:widowControl/>
              <w:jc w:val="center"/>
              <w:rPr>
                <w:rFonts w:ascii="Times New Roman" w:hAnsi="Times New Roman" w:cs="Times New Roman"/>
              </w:rPr>
            </w:pPr>
          </w:p>
        </w:tc>
        <w:tc>
          <w:tcPr>
            <w:tcW w:w="3500" w:type="pct"/>
            <w:vAlign w:val="center"/>
          </w:tcPr>
          <w:p w14:paraId="571891C1" w14:textId="77777777" w:rsidR="00185FB9" w:rsidRPr="004C0C8B" w:rsidRDefault="0070417A" w:rsidP="00B14D91">
            <w:pPr>
              <w:rPr>
                <w:rFonts w:ascii="Times New Roman" w:hAnsi="Times New Roman" w:cs="Times New Roman"/>
                <w:szCs w:val="21"/>
              </w:rPr>
            </w:pPr>
            <m:oMathPara>
              <m:oMath>
                <m:sSubSup>
                  <m:sSubSupPr>
                    <m:ctrlPr>
                      <w:rPr>
                        <w:rFonts w:ascii="Cambria Math" w:hAnsi="Cambria Math" w:cs="Times New Roman"/>
                        <w:szCs w:val="21"/>
                      </w:rPr>
                    </m:ctrlPr>
                  </m:sSubSupPr>
                  <m:e>
                    <m:r>
                      <w:rPr>
                        <w:rFonts w:ascii="Cambria Math" w:hAnsi="Cambria Math" w:cs="Times New Roman"/>
                        <w:szCs w:val="21"/>
                      </w:rPr>
                      <m:t>R</m:t>
                    </m:r>
                  </m:e>
                  <m:sub>
                    <m:r>
                      <w:rPr>
                        <w:rFonts w:ascii="Cambria Math" w:hAnsi="Cambria Math" w:cs="Times New Roman"/>
                        <w:szCs w:val="21"/>
                      </w:rPr>
                      <m:t>0</m:t>
                    </m:r>
                  </m:sub>
                  <m:sup>
                    <m:r>
                      <w:rPr>
                        <w:rFonts w:ascii="Cambria Math" w:hAnsi="Cambria Math" w:cs="Times New Roman"/>
                        <w:szCs w:val="21"/>
                      </w:rPr>
                      <m:t>6</m:t>
                    </m:r>
                  </m:sup>
                </m:sSubSup>
                <m:r>
                  <m:rPr>
                    <m:sty m:val="p"/>
                  </m:rPr>
                  <w:rPr>
                    <w:rFonts w:ascii="Cambria Math" w:hAnsi="Cambria Math" w:cs="Times New Roman"/>
                    <w:szCs w:val="21"/>
                  </w:rPr>
                  <m:t>=</m:t>
                </m:r>
                <m:f>
                  <m:fPr>
                    <m:ctrlPr>
                      <w:rPr>
                        <w:rFonts w:ascii="Cambria Math" w:hAnsi="Cambria Math" w:cs="Times New Roman"/>
                        <w:szCs w:val="21"/>
                      </w:rPr>
                    </m:ctrlPr>
                  </m:fPr>
                  <m:num>
                    <m:r>
                      <m:rPr>
                        <m:sty m:val="p"/>
                      </m:rPr>
                      <w:rPr>
                        <w:rFonts w:ascii="Cambria Math" w:hAnsi="Cambria Math" w:cs="Times New Roman"/>
                        <w:szCs w:val="21"/>
                      </w:rPr>
                      <m:t>9(ln10)</m:t>
                    </m:r>
                    <m:sSup>
                      <m:sSupPr>
                        <m:ctrlPr>
                          <w:rPr>
                            <w:rFonts w:ascii="Cambria Math" w:hAnsi="Cambria Math" w:cs="Times New Roman"/>
                            <w:szCs w:val="21"/>
                          </w:rPr>
                        </m:ctrlPr>
                      </m:sSupPr>
                      <m:e>
                        <m:r>
                          <w:rPr>
                            <w:rFonts w:ascii="Cambria Math" w:hAnsi="Cambria Math" w:cs="Times New Roman"/>
                            <w:szCs w:val="21"/>
                          </w:rPr>
                          <m:t>κ</m:t>
                        </m:r>
                      </m:e>
                      <m:sup>
                        <m:r>
                          <w:rPr>
                            <w:rFonts w:ascii="Cambria Math" w:hAnsi="Cambria Math" w:cs="Times New Roman"/>
                            <w:szCs w:val="21"/>
                          </w:rPr>
                          <m:t>2</m:t>
                        </m:r>
                      </m:sup>
                    </m:sSup>
                    <m:sSub>
                      <m:sSubPr>
                        <m:ctrlPr>
                          <w:rPr>
                            <w:rFonts w:ascii="Cambria Math" w:hAnsi="Cambria Math" w:cs="Times New Roman"/>
                            <w:szCs w:val="21"/>
                          </w:rPr>
                        </m:ctrlPr>
                      </m:sSubPr>
                      <m:e>
                        <m:r>
                          <w:rPr>
                            <w:rFonts w:ascii="Cambria Math" w:hAnsi="Cambria Math" w:cs="Times New Roman"/>
                            <w:szCs w:val="21"/>
                          </w:rPr>
                          <m:t>Φ</m:t>
                        </m:r>
                      </m:e>
                      <m:sub>
                        <m:r>
                          <w:rPr>
                            <w:rFonts w:ascii="Cambria Math" w:hAnsi="Cambria Math" w:cs="Times New Roman"/>
                            <w:szCs w:val="21"/>
                          </w:rPr>
                          <m:t>f</m:t>
                        </m:r>
                      </m:sub>
                    </m:sSub>
                    <m:r>
                      <w:rPr>
                        <w:rFonts w:ascii="Cambria Math" w:hAnsi="Cambria Math" w:cs="Times New Roman"/>
                        <w:szCs w:val="21"/>
                      </w:rPr>
                      <m:t>J</m:t>
                    </m:r>
                  </m:num>
                  <m:den>
                    <m:r>
                      <m:rPr>
                        <m:sty m:val="p"/>
                      </m:rPr>
                      <w:rPr>
                        <w:rFonts w:ascii="Cambria Math" w:hAnsi="Cambria Math" w:cs="Times New Roman"/>
                        <w:szCs w:val="21"/>
                      </w:rPr>
                      <m:t>128</m:t>
                    </m:r>
                    <m:sSup>
                      <m:sSupPr>
                        <m:ctrlPr>
                          <w:rPr>
                            <w:rFonts w:ascii="Cambria Math" w:hAnsi="Cambria Math" w:cs="Times New Roman"/>
                            <w:szCs w:val="21"/>
                          </w:rPr>
                        </m:ctrlPr>
                      </m:sSupPr>
                      <m:e>
                        <m:r>
                          <w:rPr>
                            <w:rFonts w:ascii="Cambria Math" w:hAnsi="Cambria Math" w:cs="Times New Roman"/>
                            <w:szCs w:val="21"/>
                          </w:rPr>
                          <m:t>π</m:t>
                        </m:r>
                      </m:e>
                      <m:sup>
                        <m:r>
                          <w:rPr>
                            <w:rFonts w:ascii="Cambria Math" w:hAnsi="Cambria Math" w:cs="Times New Roman"/>
                            <w:szCs w:val="21"/>
                          </w:rPr>
                          <m:t>5</m:t>
                        </m:r>
                      </m:sup>
                    </m:sSup>
                    <m:sSup>
                      <m:sSupPr>
                        <m:ctrlPr>
                          <w:rPr>
                            <w:rFonts w:ascii="Cambria Math" w:hAnsi="Cambria Math" w:cs="Times New Roman"/>
                            <w:szCs w:val="21"/>
                          </w:rPr>
                        </m:ctrlPr>
                      </m:sSupPr>
                      <m:e>
                        <m:r>
                          <w:rPr>
                            <w:rFonts w:ascii="Cambria Math" w:hAnsi="Cambria Math" w:cs="Times New Roman"/>
                            <w:szCs w:val="21"/>
                          </w:rPr>
                          <m:t>n</m:t>
                        </m:r>
                      </m:e>
                      <m:sup>
                        <m:r>
                          <w:rPr>
                            <w:rFonts w:ascii="Cambria Math" w:hAnsi="Cambria Math" w:cs="Times New Roman"/>
                            <w:szCs w:val="21"/>
                          </w:rPr>
                          <m:t>4</m:t>
                        </m:r>
                      </m:sup>
                    </m:sSup>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A</m:t>
                        </m:r>
                      </m:sub>
                    </m:sSub>
                  </m:den>
                </m:f>
              </m:oMath>
            </m:oMathPara>
          </w:p>
        </w:tc>
        <w:tc>
          <w:tcPr>
            <w:tcW w:w="750" w:type="pct"/>
            <w:vAlign w:val="center"/>
          </w:tcPr>
          <w:p w14:paraId="649C769F" w14:textId="77777777" w:rsidR="00185FB9" w:rsidRPr="004C0C8B" w:rsidRDefault="00185FB9" w:rsidP="00B14D91">
            <w:pPr>
              <w:pStyle w:val="a5"/>
              <w:widowControl/>
              <w:numPr>
                <w:ilvl w:val="0"/>
                <w:numId w:val="1"/>
              </w:numPr>
              <w:ind w:leftChars="0"/>
              <w:jc w:val="center"/>
              <w:rPr>
                <w:rFonts w:ascii="Times New Roman" w:hAnsi="Times New Roman" w:cs="Times New Roman"/>
              </w:rPr>
            </w:pPr>
          </w:p>
        </w:tc>
      </w:tr>
    </w:tbl>
    <w:p w14:paraId="790F3717" w14:textId="77777777" w:rsidR="00185FB9" w:rsidRPr="004C0C8B" w:rsidRDefault="00185FB9" w:rsidP="00185FB9">
      <w:pPr>
        <w:widowControl/>
        <w:jc w:val="left"/>
      </w:pPr>
      <w:r w:rsidRPr="004C0C8B">
        <w:t>ここで</w:t>
      </w:r>
      <w:r w:rsidRPr="004C0C8B">
        <w:rPr>
          <w:i/>
        </w:rPr>
        <w:t>Φ</w:t>
      </w:r>
      <w:r w:rsidRPr="004C0C8B">
        <w:rPr>
          <w:i/>
          <w:vertAlign w:val="subscript"/>
        </w:rPr>
        <w:t>f</w:t>
      </w:r>
      <w:r w:rsidRPr="004C0C8B">
        <w:t>は蛍光量子収率、</w:t>
      </w:r>
      <w:r w:rsidRPr="004C0C8B">
        <w:rPr>
          <w:i/>
        </w:rPr>
        <w:t>n</w:t>
      </w:r>
      <w:r w:rsidRPr="004C0C8B">
        <w:t>は溶媒の屈折率、</w:t>
      </w:r>
      <w:r w:rsidRPr="004C0C8B">
        <w:t>N</w:t>
      </w:r>
      <w:r w:rsidRPr="004C0C8B">
        <w:rPr>
          <w:vertAlign w:val="subscript"/>
        </w:rPr>
        <w:t>A</w:t>
      </w:r>
      <w:r w:rsidRPr="004C0C8B">
        <w:t>はアボガドロ数、</w:t>
      </w:r>
      <w:r w:rsidRPr="004C0C8B">
        <w:rPr>
          <w:i/>
        </w:rPr>
        <w:t>J</w:t>
      </w:r>
      <w:r w:rsidRPr="004C0C8B">
        <w:t>は積分値で</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8"/>
        <w:gridCol w:w="6104"/>
        <w:gridCol w:w="1308"/>
      </w:tblGrid>
      <w:tr w:rsidR="00185FB9" w:rsidRPr="004C0C8B" w14:paraId="4283B388" w14:textId="77777777" w:rsidTr="00B14D91">
        <w:tc>
          <w:tcPr>
            <w:tcW w:w="750" w:type="pct"/>
            <w:vAlign w:val="center"/>
          </w:tcPr>
          <w:p w14:paraId="57C1744D" w14:textId="77777777" w:rsidR="00185FB9" w:rsidRPr="004C0C8B" w:rsidRDefault="00185FB9" w:rsidP="00B14D91">
            <w:pPr>
              <w:widowControl/>
              <w:jc w:val="center"/>
              <w:rPr>
                <w:rFonts w:ascii="Times New Roman" w:hAnsi="Times New Roman" w:cs="Times New Roman"/>
              </w:rPr>
            </w:pPr>
          </w:p>
        </w:tc>
        <w:tc>
          <w:tcPr>
            <w:tcW w:w="3500" w:type="pct"/>
            <w:vAlign w:val="center"/>
          </w:tcPr>
          <w:p w14:paraId="33978D0F" w14:textId="77777777" w:rsidR="00185FB9" w:rsidRPr="004C0C8B" w:rsidRDefault="00185FB9" w:rsidP="00B14D91">
            <w:pPr>
              <w:rPr>
                <w:rFonts w:ascii="Times New Roman" w:hAnsi="Times New Roman" w:cs="Times New Roman"/>
                <w:szCs w:val="21"/>
              </w:rPr>
            </w:pPr>
            <m:oMathPara>
              <m:oMath>
                <m:r>
                  <w:rPr>
                    <w:rFonts w:ascii="Cambria Math" w:hAnsi="Cambria Math" w:cs="Times New Roman"/>
                    <w:szCs w:val="21"/>
                  </w:rPr>
                  <m:t>J</m:t>
                </m:r>
                <m:r>
                  <m:rPr>
                    <m:sty m:val="p"/>
                  </m:rPr>
                  <w:rPr>
                    <w:rFonts w:ascii="Cambria Math" w:hAnsi="Cambria Math" w:cs="Times New Roman"/>
                    <w:szCs w:val="21"/>
                  </w:rPr>
                  <m:t>=</m:t>
                </m:r>
                <m:nary>
                  <m:naryPr>
                    <m:limLoc m:val="undOvr"/>
                    <m:subHide m:val="1"/>
                    <m:supHide m:val="1"/>
                    <m:ctrlPr>
                      <w:rPr>
                        <w:rFonts w:ascii="Cambria Math" w:hAnsi="Cambria Math" w:cs="Times New Roman"/>
                        <w:i/>
                        <w:szCs w:val="21"/>
                      </w:rPr>
                    </m:ctrlPr>
                  </m:naryPr>
                  <m:sub/>
                  <m:sup/>
                  <m:e>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D</m:t>
                            </m:r>
                          </m:sub>
                        </m:sSub>
                        <m:r>
                          <w:rPr>
                            <w:rFonts w:ascii="Cambria Math" w:hAnsi="Cambria Math" w:cs="Times New Roman"/>
                            <w:szCs w:val="21"/>
                          </w:rPr>
                          <m:t>(ν)</m:t>
                        </m:r>
                        <m:sSub>
                          <m:sSubPr>
                            <m:ctrlPr>
                              <w:rPr>
                                <w:rFonts w:ascii="Cambria Math" w:hAnsi="Cambria Math" w:cs="Times New Roman"/>
                                <w:i/>
                                <w:szCs w:val="21"/>
                              </w:rPr>
                            </m:ctrlPr>
                          </m:sSubPr>
                          <m:e>
                            <m:r>
                              <w:rPr>
                                <w:rFonts w:ascii="Cambria Math" w:hAnsi="Cambria Math" w:cs="Times New Roman"/>
                                <w:szCs w:val="21"/>
                              </w:rPr>
                              <m:t>ε</m:t>
                            </m:r>
                          </m:e>
                          <m:sub>
                            <m:r>
                              <w:rPr>
                                <w:rFonts w:ascii="Cambria Math" w:hAnsi="Cambria Math" w:cs="Times New Roman"/>
                                <w:szCs w:val="21"/>
                              </w:rPr>
                              <m:t>A</m:t>
                            </m:r>
                          </m:sub>
                        </m:sSub>
                        <m:r>
                          <w:rPr>
                            <w:rFonts w:ascii="Cambria Math" w:hAnsi="Cambria Math" w:cs="Times New Roman"/>
                            <w:szCs w:val="21"/>
                          </w:rPr>
                          <m:t>(ν)dν</m:t>
                        </m:r>
                      </m:num>
                      <m:den>
                        <m:sSup>
                          <m:sSupPr>
                            <m:ctrlPr>
                              <w:rPr>
                                <w:rFonts w:ascii="Cambria Math" w:hAnsi="Cambria Math" w:cs="Times New Roman"/>
                                <w:i/>
                                <w:szCs w:val="21"/>
                              </w:rPr>
                            </m:ctrlPr>
                          </m:sSupPr>
                          <m:e>
                            <m:r>
                              <w:rPr>
                                <w:rFonts w:ascii="Cambria Math" w:hAnsi="Cambria Math" w:cs="Times New Roman"/>
                                <w:szCs w:val="21"/>
                              </w:rPr>
                              <m:t>ν</m:t>
                            </m:r>
                          </m:e>
                          <m:sup>
                            <m:r>
                              <w:rPr>
                                <w:rFonts w:ascii="Cambria Math" w:hAnsi="Cambria Math" w:cs="Times New Roman"/>
                                <w:szCs w:val="21"/>
                              </w:rPr>
                              <m:t>4</m:t>
                            </m:r>
                          </m:sup>
                        </m:sSup>
                      </m:den>
                    </m:f>
                  </m:e>
                </m:nary>
              </m:oMath>
            </m:oMathPara>
          </w:p>
        </w:tc>
        <w:tc>
          <w:tcPr>
            <w:tcW w:w="750" w:type="pct"/>
            <w:vAlign w:val="center"/>
          </w:tcPr>
          <w:p w14:paraId="580B3F2E" w14:textId="77777777" w:rsidR="00185FB9" w:rsidRPr="004C0C8B" w:rsidRDefault="00185FB9" w:rsidP="00B14D91">
            <w:pPr>
              <w:pStyle w:val="a5"/>
              <w:widowControl/>
              <w:numPr>
                <w:ilvl w:val="0"/>
                <w:numId w:val="1"/>
              </w:numPr>
              <w:ind w:leftChars="0"/>
              <w:jc w:val="center"/>
              <w:rPr>
                <w:rFonts w:ascii="Times New Roman" w:hAnsi="Times New Roman" w:cs="Times New Roman"/>
              </w:rPr>
            </w:pPr>
          </w:p>
        </w:tc>
      </w:tr>
    </w:tbl>
    <w:p w14:paraId="518B50DB" w14:textId="77777777" w:rsidR="00185FB9" w:rsidRPr="004C0C8B" w:rsidRDefault="00185FB9" w:rsidP="00185FB9">
      <w:pPr>
        <w:widowControl/>
        <w:jc w:val="left"/>
      </w:pPr>
      <w:r w:rsidRPr="004C0C8B">
        <w:t>と表される。</w:t>
      </w:r>
      <w:r w:rsidRPr="004C0C8B">
        <w:rPr>
          <w:i/>
        </w:rPr>
        <w:t>f</w:t>
      </w:r>
      <w:r w:rsidRPr="004C0C8B">
        <w:rPr>
          <w:i/>
          <w:vertAlign w:val="subscript"/>
        </w:rPr>
        <w:t>D</w:t>
      </w:r>
      <w:r w:rsidRPr="004C0C8B">
        <w:t>は規格化されたドナーの蛍光スペクトル、</w:t>
      </w:r>
      <w:r w:rsidRPr="004C0C8B">
        <w:rPr>
          <w:i/>
        </w:rPr>
        <w:t>ε</w:t>
      </w:r>
      <w:r w:rsidRPr="004C0C8B">
        <w:rPr>
          <w:i/>
          <w:vertAlign w:val="subscript"/>
        </w:rPr>
        <w:t>A</w:t>
      </w:r>
      <w:r w:rsidRPr="004C0C8B">
        <w:t>はアクセプターのモル吸光係数である。また、</w:t>
      </w:r>
      <w:r w:rsidRPr="004C0C8B">
        <w:rPr>
          <w:i/>
        </w:rPr>
        <w:t>κ</w:t>
      </w:r>
      <w:r w:rsidRPr="004C0C8B">
        <w:t>は配向因子で</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8"/>
        <w:gridCol w:w="6104"/>
        <w:gridCol w:w="1308"/>
      </w:tblGrid>
      <w:tr w:rsidR="00185FB9" w:rsidRPr="004C0C8B" w14:paraId="1690CA17" w14:textId="77777777" w:rsidTr="00B14D91">
        <w:tc>
          <w:tcPr>
            <w:tcW w:w="750" w:type="pct"/>
            <w:vAlign w:val="center"/>
          </w:tcPr>
          <w:p w14:paraId="68A9C356" w14:textId="77777777" w:rsidR="00185FB9" w:rsidRPr="004C0C8B" w:rsidRDefault="00185FB9" w:rsidP="00B14D91">
            <w:pPr>
              <w:widowControl/>
              <w:jc w:val="center"/>
              <w:rPr>
                <w:rFonts w:ascii="Times New Roman" w:hAnsi="Times New Roman" w:cs="Times New Roman"/>
              </w:rPr>
            </w:pPr>
          </w:p>
        </w:tc>
        <w:tc>
          <w:tcPr>
            <w:tcW w:w="3500" w:type="pct"/>
            <w:vAlign w:val="center"/>
          </w:tcPr>
          <w:p w14:paraId="53B7BC04" w14:textId="77777777" w:rsidR="00185FB9" w:rsidRPr="004C0C8B" w:rsidRDefault="00185FB9" w:rsidP="00B14D91">
            <w:pPr>
              <w:widowControl/>
              <w:jc w:val="center"/>
              <w:rPr>
                <w:rFonts w:ascii="Times New Roman" w:hAnsi="Times New Roman" w:cs="Times New Roman"/>
              </w:rPr>
            </w:pPr>
            <m:oMathPara>
              <m:oMath>
                <m:r>
                  <w:rPr>
                    <w:rFonts w:ascii="Cambria Math" w:hAnsi="Cambria Math" w:cs="Times New Roman"/>
                  </w:rPr>
                  <m:t>κ</m:t>
                </m:r>
                <m:r>
                  <m:rPr>
                    <m:sty m:val="p"/>
                  </m:rPr>
                  <w:rPr>
                    <w:rFonts w:ascii="Cambria Math" w:hAnsi="Cambria Math" w:cs="Times New Roman"/>
                  </w:rPr>
                  <m:t>=cos</m:t>
                </m:r>
                <m:sSub>
                  <m:sSubPr>
                    <m:ctrlPr>
                      <w:rPr>
                        <w:rFonts w:ascii="Cambria Math" w:hAnsi="Cambria Math" w:cs="Times New Roman"/>
                      </w:rPr>
                    </m:ctrlPr>
                  </m:sSubPr>
                  <m:e>
                    <m:r>
                      <w:rPr>
                        <w:rFonts w:ascii="Cambria Math" w:hAnsi="Cambria Math" w:cs="Times New Roman"/>
                      </w:rPr>
                      <m:t>φ</m:t>
                    </m:r>
                  </m:e>
                  <m:sub>
                    <m:r>
                      <w:rPr>
                        <w:rFonts w:ascii="Cambria Math" w:hAnsi="Cambria Math" w:cs="Times New Roman"/>
                      </w:rPr>
                      <m:t>DA</m:t>
                    </m:r>
                  </m:sub>
                </m:sSub>
                <m:r>
                  <w:rPr>
                    <w:rFonts w:ascii="Cambria Math" w:hAnsi="Cambria Math" w:cs="Times New Roman"/>
                  </w:rPr>
                  <m:t>-3</m:t>
                </m:r>
                <m:r>
                  <m:rPr>
                    <m:sty m:val="p"/>
                  </m:rPr>
                  <w:rPr>
                    <w:rFonts w:ascii="Cambria Math" w:hAnsi="Cambria Math" w:cs="Times New Roman"/>
                  </w:rPr>
                  <m:t>cos</m:t>
                </m:r>
                <m:sSub>
                  <m:sSubPr>
                    <m:ctrlPr>
                      <w:rPr>
                        <w:rFonts w:ascii="Cambria Math" w:hAnsi="Cambria Math" w:cs="Times New Roman"/>
                      </w:rPr>
                    </m:ctrlPr>
                  </m:sSubPr>
                  <m:e>
                    <m:r>
                      <w:rPr>
                        <w:rFonts w:ascii="Cambria Math" w:hAnsi="Cambria Math" w:cs="Times New Roman"/>
                      </w:rPr>
                      <m:t>φ</m:t>
                    </m:r>
                  </m:e>
                  <m:sub>
                    <m:r>
                      <w:rPr>
                        <w:rFonts w:ascii="Cambria Math" w:hAnsi="Cambria Math" w:cs="Times New Roman"/>
                      </w:rPr>
                      <m:t>D</m:t>
                    </m:r>
                  </m:sub>
                </m:sSub>
                <m:r>
                  <m:rPr>
                    <m:sty m:val="p"/>
                  </m:rPr>
                  <w:rPr>
                    <w:rFonts w:ascii="Cambria Math" w:hAnsi="Cambria Math" w:cs="Times New Roman"/>
                  </w:rPr>
                  <m:t>cos</m:t>
                </m:r>
                <m:sSub>
                  <m:sSubPr>
                    <m:ctrlPr>
                      <w:rPr>
                        <w:rFonts w:ascii="Cambria Math" w:hAnsi="Cambria Math" w:cs="Times New Roman"/>
                      </w:rPr>
                    </m:ctrlPr>
                  </m:sSubPr>
                  <m:e>
                    <m:r>
                      <w:rPr>
                        <w:rFonts w:ascii="Cambria Math" w:hAnsi="Cambria Math" w:cs="Times New Roman"/>
                      </w:rPr>
                      <m:t>φ</m:t>
                    </m:r>
                  </m:e>
                  <m:sub>
                    <m:r>
                      <m:rPr>
                        <m:sty m:val="p"/>
                      </m:rPr>
                      <w:rPr>
                        <w:rFonts w:ascii="Cambria Math" w:hAnsi="Cambria Math" w:cs="Times New Roman"/>
                      </w:rPr>
                      <m:t>A</m:t>
                    </m:r>
                  </m:sub>
                </m:sSub>
              </m:oMath>
            </m:oMathPara>
          </w:p>
        </w:tc>
        <w:tc>
          <w:tcPr>
            <w:tcW w:w="750" w:type="pct"/>
            <w:vAlign w:val="center"/>
          </w:tcPr>
          <w:p w14:paraId="4AB4D65F" w14:textId="77777777" w:rsidR="00185FB9" w:rsidRPr="004C0C8B" w:rsidRDefault="00185FB9" w:rsidP="00B14D91">
            <w:pPr>
              <w:pStyle w:val="a5"/>
              <w:widowControl/>
              <w:numPr>
                <w:ilvl w:val="0"/>
                <w:numId w:val="1"/>
              </w:numPr>
              <w:ind w:leftChars="0"/>
              <w:jc w:val="center"/>
              <w:rPr>
                <w:rFonts w:ascii="Times New Roman" w:hAnsi="Times New Roman" w:cs="Times New Roman"/>
              </w:rPr>
            </w:pPr>
          </w:p>
        </w:tc>
      </w:tr>
    </w:tbl>
    <w:p w14:paraId="4BA58416" w14:textId="77777777" w:rsidR="00185FB9" w:rsidRPr="004C0C8B" w:rsidRDefault="00185FB9" w:rsidP="00185FB9">
      <w:pPr>
        <w:widowControl/>
        <w:jc w:val="left"/>
      </w:pPr>
      <w:r w:rsidRPr="004C0C8B">
        <w:t>と表される。</w:t>
      </w:r>
      <w:r w:rsidRPr="004C0C8B">
        <w:t>D,A</w:t>
      </w:r>
      <w:r w:rsidRPr="004C0C8B">
        <w:t>が自由に回転できるとき</w:t>
      </w:r>
      <w:r w:rsidRPr="004C0C8B">
        <w:rPr>
          <w:i/>
        </w:rPr>
        <w:t>κ</w:t>
      </w:r>
      <w:r w:rsidRPr="004C0C8B">
        <w:rPr>
          <w:vertAlign w:val="superscript"/>
        </w:rPr>
        <w:t>2</w:t>
      </w:r>
      <w:r w:rsidRPr="004C0C8B">
        <w:t>の平均値は</w:t>
      </w:r>
      <w:r w:rsidRPr="004C0C8B">
        <w:t>2/3</w:t>
      </w:r>
      <w:r w:rsidRPr="004C0C8B">
        <w:t>、</w:t>
      </w:r>
      <w:r w:rsidRPr="004C0C8B">
        <w:t>D,A</w:t>
      </w:r>
      <w:r w:rsidRPr="004C0C8B">
        <w:t>が自由に回転できるがエネルギー移動速度が回転よりも十分に速いとき</w:t>
      </w:r>
      <w:r w:rsidRPr="004C0C8B">
        <w:rPr>
          <w:i/>
        </w:rPr>
        <w:t>κ</w:t>
      </w:r>
      <w:r w:rsidRPr="004C0C8B">
        <w:rPr>
          <w:vertAlign w:val="superscript"/>
        </w:rPr>
        <w:t>2</w:t>
      </w:r>
      <w:r w:rsidRPr="004C0C8B">
        <w:t>の平均値は</w:t>
      </w:r>
      <w:r w:rsidRPr="004C0C8B">
        <w:t>0.475</w:t>
      </w:r>
      <w:r w:rsidRPr="004C0C8B">
        <w:t>である。</w:t>
      </w:r>
      <w:r w:rsidRPr="004C0C8B">
        <w:t>φ</w:t>
      </w:r>
      <w:r w:rsidRPr="004C0C8B">
        <w:rPr>
          <w:vertAlign w:val="subscript"/>
        </w:rPr>
        <w:t>DA</w:t>
      </w:r>
      <w:r w:rsidRPr="004C0C8B">
        <w:t>は</w:t>
      </w:r>
      <w:r w:rsidRPr="004C0C8B">
        <w:t>D</w:t>
      </w:r>
      <w:r w:rsidRPr="004C0C8B">
        <w:t>、</w:t>
      </w:r>
      <w:r w:rsidRPr="004C0C8B">
        <w:t>A</w:t>
      </w:r>
      <w:r w:rsidRPr="004C0C8B">
        <w:t>の遷移双極子モーメントベクトル間の角度で</w:t>
      </w:r>
      <w:r w:rsidRPr="004C0C8B">
        <w:t>φ</w:t>
      </w:r>
      <w:r w:rsidRPr="004C0C8B">
        <w:rPr>
          <w:vertAlign w:val="subscript"/>
        </w:rPr>
        <w:t>D</w:t>
      </w:r>
      <w:r w:rsidRPr="004C0C8B">
        <w:t>、</w:t>
      </w:r>
      <w:r w:rsidRPr="004C0C8B">
        <w:t>φ</w:t>
      </w:r>
      <w:r w:rsidRPr="004C0C8B">
        <w:rPr>
          <w:vertAlign w:val="subscript"/>
        </w:rPr>
        <w:t>A</w:t>
      </w:r>
      <w:r w:rsidRPr="004C0C8B">
        <w:t>は</w:t>
      </w:r>
      <w:r w:rsidRPr="004C0C8B">
        <w:t>D,A</w:t>
      </w:r>
      <w:r w:rsidRPr="004C0C8B">
        <w:t>間の距離ベクトル</w:t>
      </w:r>
      <w:r w:rsidRPr="004C0C8B">
        <w:rPr>
          <w:i/>
        </w:rPr>
        <w:t>R</w:t>
      </w:r>
      <w:r w:rsidRPr="004C0C8B">
        <w:t>に対する</w:t>
      </w:r>
      <w:r w:rsidRPr="004C0C8B">
        <w:t>D</w:t>
      </w:r>
      <w:r w:rsidRPr="004C0C8B">
        <w:t>、</w:t>
      </w:r>
      <w:r w:rsidRPr="004C0C8B">
        <w:t>A</w:t>
      </w:r>
      <w:r w:rsidRPr="004C0C8B">
        <w:t>それぞれの遷移双極子モーメントベクトルの角度である。</w:t>
      </w:r>
    </w:p>
    <w:p w14:paraId="27C90E85" w14:textId="77777777" w:rsidR="0050587C" w:rsidRPr="004C0C8B" w:rsidRDefault="007F3C01" w:rsidP="00185FB9">
      <w:pPr>
        <w:ind w:firstLineChars="100" w:firstLine="210"/>
        <w:rPr>
          <w:vertAlign w:val="superscript"/>
        </w:rPr>
      </w:pPr>
      <w:r w:rsidRPr="004C0C8B">
        <w:t>以上のように励起エネルギー移動の速度は分子間の距離、配向が重要となる。生物の持つ光捕集アンテナは、分子の位置や配向</w:t>
      </w:r>
      <w:r w:rsidR="004C0C8B" w:rsidRPr="004C0C8B">
        <w:t>（式</w:t>
      </w:r>
      <w:r w:rsidR="004C0C8B" w:rsidRPr="004C0C8B">
        <w:t>(1.1)</w:t>
      </w:r>
      <w:r w:rsidR="004C0C8B" w:rsidRPr="004C0C8B">
        <w:t>や</w:t>
      </w:r>
      <w:r w:rsidR="004C0C8B" w:rsidRPr="004C0C8B">
        <w:t>(1.2)</w:t>
      </w:r>
      <w:r w:rsidR="004C0C8B" w:rsidRPr="004C0C8B">
        <w:t>の</w:t>
      </w:r>
      <w:r w:rsidR="004C0C8B" w:rsidRPr="004C0C8B">
        <w:t>R</w:t>
      </w:r>
      <w:r w:rsidR="004C0C8B" w:rsidRPr="004C0C8B">
        <w:t>や</w:t>
      </w:r>
      <w:r w:rsidR="004C0C8B" w:rsidRPr="004C0C8B">
        <w:t>κ</w:t>
      </w:r>
      <w:r w:rsidR="004C0C8B" w:rsidRPr="004C0C8B">
        <w:t>）</w:t>
      </w:r>
      <w:r w:rsidRPr="004C0C8B">
        <w:t>を緻密にコントロールすることによって非常に高効率なエネルギー移動を行っている。</w:t>
      </w:r>
    </w:p>
    <w:p w14:paraId="673EC594" w14:textId="7D344966" w:rsidR="00661CA7" w:rsidRDefault="00661CA7">
      <w:pPr>
        <w:widowControl/>
        <w:jc w:val="left"/>
      </w:pPr>
      <w:r>
        <w:br w:type="page"/>
      </w:r>
    </w:p>
    <w:p w14:paraId="59F0C663" w14:textId="11214D29" w:rsidR="007F3C01" w:rsidRPr="004C0C8B" w:rsidRDefault="007F3C01"/>
    <w:p w14:paraId="6E2EA09F" w14:textId="763DB4D0" w:rsidR="00A1112B" w:rsidRPr="004C0C8B" w:rsidRDefault="00DE1C7C">
      <w:pPr>
        <w:rPr>
          <w:u w:val="single"/>
        </w:rPr>
      </w:pPr>
      <w:r w:rsidRPr="004C0C8B">
        <w:rPr>
          <w:u w:val="single"/>
        </w:rPr>
        <w:t>アンテナタンパク質と超高速エネルギー移動</w:t>
      </w:r>
    </w:p>
    <w:p w14:paraId="50F8B432" w14:textId="637476B7" w:rsidR="00060099" w:rsidRPr="004C0C8B" w:rsidRDefault="00661CA7" w:rsidP="00661CA7">
      <w:r w:rsidRPr="004C0C8B">
        <w:rPr>
          <w:noProof/>
        </w:rPr>
        <w:drawing>
          <wp:anchor distT="0" distB="0" distL="114300" distR="114300" simplePos="0" relativeHeight="251684864" behindDoc="0" locked="0" layoutInCell="1" allowOverlap="1" wp14:anchorId="04F7B962" wp14:editId="321AA573">
            <wp:simplePos x="0" y="0"/>
            <wp:positionH relativeFrom="margin">
              <wp:posOffset>2379345</wp:posOffset>
            </wp:positionH>
            <wp:positionV relativeFrom="margin">
              <wp:posOffset>520700</wp:posOffset>
            </wp:positionV>
            <wp:extent cx="3003550" cy="2733675"/>
            <wp:effectExtent l="0" t="0" r="6350" b="9525"/>
            <wp:wrapSquare wrapText="bothSides"/>
            <wp:docPr id="2" name="図 2" descr="C:\Users\YUSUKE\Dropbox\授業\M1\Mコロ\グループ討論\Light-harve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UKE\Dropbox\授業\M1\Mコロ\グループ討論\Light-harvesti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355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A61" w:rsidRPr="004C0C8B">
        <w:t xml:space="preserve">　</w:t>
      </w:r>
      <w:r w:rsidR="00BE6F83" w:rsidRPr="004C0C8B">
        <w:t>光合成反応初期過程におけるエネルギー移動反応においては、光捕集アンテナ複合体</w:t>
      </w:r>
      <w:r w:rsidR="00BE6F83" w:rsidRPr="004C0C8B">
        <w:t xml:space="preserve"> (LH)</w:t>
      </w:r>
      <w:r w:rsidR="00BE6F83" w:rsidRPr="004C0C8B">
        <w:t>が重要な役割を担っている</w:t>
      </w:r>
      <w:r w:rsidR="002F2A61" w:rsidRPr="004C0C8B">
        <w:t>。</w:t>
      </w:r>
      <w:r w:rsidR="00BB394B" w:rsidRPr="004C0C8B">
        <w:t>LH</w:t>
      </w:r>
      <w:r w:rsidR="00BB394B" w:rsidRPr="004C0C8B">
        <w:t>は太陽光エネルギーを捕集し、その励起エネルギーをアンテナ間を介して</w:t>
      </w:r>
      <w:r w:rsidR="00BB394B" w:rsidRPr="004C0C8B">
        <w:t>RC</w:t>
      </w:r>
      <w:r w:rsidR="00BB394B" w:rsidRPr="004C0C8B">
        <w:t>へと集約する。各々の段階での反応速度は数百フェムト秒～数十ピコ秒という超高速な時間で起こるため、エネルギー移動効率はほぼ</w:t>
      </w:r>
      <w:r w:rsidR="00BB394B" w:rsidRPr="004C0C8B">
        <w:t>100 %</w:t>
      </w:r>
      <w:r w:rsidR="00BB394B" w:rsidRPr="004C0C8B">
        <w:t>である。</w:t>
      </w:r>
    </w:p>
    <w:p w14:paraId="0D53D09E" w14:textId="178BAB1E" w:rsidR="00DE1C7C" w:rsidRPr="004C0C8B" w:rsidRDefault="00661CA7" w:rsidP="00661CA7">
      <w:pPr>
        <w:ind w:firstLineChars="100" w:firstLine="210"/>
        <w:jc w:val="left"/>
      </w:pPr>
      <w:r w:rsidRPr="00E161DD">
        <w:rPr>
          <w:noProof/>
        </w:rPr>
        <w:drawing>
          <wp:anchor distT="0" distB="0" distL="114300" distR="114300" simplePos="0" relativeHeight="251688960" behindDoc="0" locked="0" layoutInCell="1" allowOverlap="1" wp14:anchorId="4B5B094C" wp14:editId="4349FDED">
            <wp:simplePos x="0" y="0"/>
            <wp:positionH relativeFrom="margin">
              <wp:posOffset>2329815</wp:posOffset>
            </wp:positionH>
            <wp:positionV relativeFrom="margin">
              <wp:posOffset>3482975</wp:posOffset>
            </wp:positionV>
            <wp:extent cx="3056890" cy="2990850"/>
            <wp:effectExtent l="0" t="0" r="0" b="0"/>
            <wp:wrapSquare wrapText="bothSides"/>
            <wp:docPr id="12" name="図 12" descr="C:\Users\YUSUKE\Dropbox\授業\M1\Mコロ\グループ討論\あ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USUKE\Dropbox\授業\M1\Mコロ\グループ討論\あこ.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6890"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DEC" w:rsidRPr="004C0C8B">
        <w:t>次にアンテナ複合体の一つである</w:t>
      </w:r>
      <w:r w:rsidR="00254DEC" w:rsidRPr="004C0C8B">
        <w:t>LH2</w:t>
      </w:r>
      <w:r w:rsidR="00254DEC" w:rsidRPr="004C0C8B">
        <w:t>の構造と吸収スペクトルを示す。</w:t>
      </w:r>
      <w:r w:rsidR="0032322E" w:rsidRPr="004C0C8B">
        <w:t>LH2</w:t>
      </w:r>
      <w:r w:rsidR="0032322E" w:rsidRPr="004C0C8B">
        <w:t>はカロテノイド分子</w:t>
      </w:r>
      <w:r w:rsidR="0032322E" w:rsidRPr="004C0C8B">
        <w:t>18</w:t>
      </w:r>
      <w:r w:rsidR="0032322E" w:rsidRPr="004C0C8B">
        <w:t>個、バクテリオクロロフィル分子</w:t>
      </w:r>
      <w:r w:rsidR="0032322E" w:rsidRPr="004C0C8B">
        <w:t>27</w:t>
      </w:r>
      <w:r w:rsidR="0032322E" w:rsidRPr="004C0C8B">
        <w:t>個を持っている</w:t>
      </w:r>
      <w:r w:rsidR="002E1747" w:rsidRPr="004C0C8B">
        <w:t>。カロテノイド分子は</w:t>
      </w:r>
      <w:r w:rsidR="002E1747" w:rsidRPr="004C0C8B">
        <w:t>500 nm</w:t>
      </w:r>
      <w:r w:rsidR="002E1747" w:rsidRPr="004C0C8B">
        <w:t>付近に吸収を持ち、バクテリオクロロフィル分子は会合の様式によって</w:t>
      </w:r>
      <w:r w:rsidR="002E1747" w:rsidRPr="004C0C8B">
        <w:t>800 nm</w:t>
      </w:r>
      <w:r w:rsidR="002E1747" w:rsidRPr="004C0C8B">
        <w:t>と</w:t>
      </w:r>
      <w:r w:rsidR="002E1747" w:rsidRPr="004C0C8B">
        <w:t>850 nm</w:t>
      </w:r>
      <w:r w:rsidR="002E1747" w:rsidRPr="004C0C8B">
        <w:t>に吸収を持つものが存在</w:t>
      </w:r>
      <w:r w:rsidR="00060099" w:rsidRPr="004C0C8B">
        <w:t>し、それぞれ</w:t>
      </w:r>
      <w:r w:rsidR="00060099" w:rsidRPr="004C0C8B">
        <w:t>B800</w:t>
      </w:r>
      <w:r w:rsidR="00060099" w:rsidRPr="004C0C8B">
        <w:t>、</w:t>
      </w:r>
      <w:r w:rsidR="00060099" w:rsidRPr="004C0C8B">
        <w:t>B850</w:t>
      </w:r>
      <w:r w:rsidR="00060099" w:rsidRPr="004C0C8B">
        <w:t>と呼ばれている</w:t>
      </w:r>
      <w:r w:rsidR="002E1747" w:rsidRPr="004C0C8B">
        <w:t>。</w:t>
      </w:r>
      <w:r w:rsidR="003D30BB" w:rsidRPr="004C0C8B">
        <w:t>これらの色素が光エネルギーを捕集するが、最終的に励起エネルギーは、エネルギー的に最も低い</w:t>
      </w:r>
      <w:r w:rsidR="003D30BB" w:rsidRPr="004C0C8B">
        <w:t>B850</w:t>
      </w:r>
      <w:r w:rsidR="003D30BB" w:rsidRPr="004C0C8B">
        <w:t>上にいったん集約される。</w:t>
      </w:r>
      <w:r w:rsidR="006C4C46" w:rsidRPr="004C0C8B">
        <w:t>LH2</w:t>
      </w:r>
      <w:r w:rsidR="006C4C46" w:rsidRPr="004C0C8B">
        <w:t>から</w:t>
      </w:r>
      <w:r w:rsidR="006C4C46" w:rsidRPr="004C0C8B">
        <w:t>LH1</w:t>
      </w:r>
      <w:r w:rsidR="006C4C46" w:rsidRPr="004C0C8B">
        <w:t>へ</w:t>
      </w:r>
      <w:r w:rsidR="00443677" w:rsidRPr="004C0C8B">
        <w:t>は、</w:t>
      </w:r>
      <w:r w:rsidR="00443677" w:rsidRPr="004C0C8B">
        <w:t>B850</w:t>
      </w:r>
      <w:r w:rsidR="00443677" w:rsidRPr="004C0C8B">
        <w:t>から</w:t>
      </w:r>
      <w:r w:rsidR="00443677" w:rsidRPr="004C0C8B">
        <w:t>B875</w:t>
      </w:r>
      <w:r w:rsidR="00443677" w:rsidRPr="004C0C8B">
        <w:t>へとエネルギー移動する。</w:t>
      </w:r>
      <w:r w:rsidR="00443677" w:rsidRPr="004C0C8B">
        <w:t>B875</w:t>
      </w:r>
      <w:r w:rsidR="00443677" w:rsidRPr="004C0C8B">
        <w:t>上に集められた励起エネルギーは最終的に</w:t>
      </w:r>
      <w:r w:rsidR="00443677" w:rsidRPr="004C0C8B">
        <w:t>RC</w:t>
      </w:r>
      <w:r w:rsidR="00443677" w:rsidRPr="004C0C8B">
        <w:t>へと集約されるが、</w:t>
      </w:r>
      <w:r w:rsidR="00443677" w:rsidRPr="004C0C8B">
        <w:t>B875</w:t>
      </w:r>
      <w:r w:rsidR="00443677" w:rsidRPr="004C0C8B">
        <w:t>から</w:t>
      </w:r>
      <w:r w:rsidR="00443677" w:rsidRPr="004C0C8B">
        <w:t>RC</w:t>
      </w:r>
      <w:r w:rsidR="00443677" w:rsidRPr="004C0C8B">
        <w:t>へのエネルギー移動はアップフィルであるため、エネルギー移動速度は</w:t>
      </w:r>
      <w:r w:rsidR="00443677" w:rsidRPr="004C0C8B">
        <w:t>35 ps</w:t>
      </w:r>
      <w:r w:rsidR="00443677" w:rsidRPr="004C0C8B">
        <w:t>と他のエネルギー移動に比べて遅い。</w:t>
      </w:r>
    </w:p>
    <w:p w14:paraId="63770614" w14:textId="382206DF" w:rsidR="00EF646A" w:rsidRDefault="00EF646A"/>
    <w:p w14:paraId="68310E72" w14:textId="720E09A5" w:rsidR="00FB2ECD" w:rsidRPr="004C0C8B" w:rsidRDefault="00FB2ECD" w:rsidP="00FB2ECD">
      <w:pPr>
        <w:rPr>
          <w:u w:val="single"/>
        </w:rPr>
      </w:pPr>
      <w:r w:rsidRPr="004C0C8B">
        <w:rPr>
          <w:u w:val="single"/>
        </w:rPr>
        <w:t>超高速</w:t>
      </w:r>
      <w:r>
        <w:rPr>
          <w:rFonts w:hint="eastAsia"/>
          <w:u w:val="single"/>
        </w:rPr>
        <w:t>分光による検出</w:t>
      </w:r>
    </w:p>
    <w:p w14:paraId="3D041BCF" w14:textId="4BEC21D4" w:rsidR="00FB2ECD" w:rsidRPr="00FB2ECD" w:rsidRDefault="00B14D91">
      <w:r>
        <w:rPr>
          <w:rFonts w:hint="eastAsia"/>
        </w:rPr>
        <w:t xml:space="preserve">　超高速なエネルギー移動を直接的に観測するための手法として、超高速分光があげられる。ここでは</w:t>
      </w:r>
      <w:r>
        <w:t>LH2</w:t>
      </w:r>
      <w:r>
        <w:rPr>
          <w:rFonts w:hint="eastAsia"/>
        </w:rPr>
        <w:t>の</w:t>
      </w:r>
      <w:r>
        <w:t>B800</w:t>
      </w:r>
      <w:r>
        <w:rPr>
          <w:rFonts w:hint="eastAsia"/>
        </w:rPr>
        <w:t>から</w:t>
      </w:r>
      <w:r>
        <w:t>B850</w:t>
      </w:r>
      <w:r>
        <w:rPr>
          <w:rFonts w:hint="eastAsia"/>
        </w:rPr>
        <w:t>へのエネルギー移動に関する例を紹介する。今回用いられている実験方法は、蛍光アップコンバージョン法と呼ばれる時間分解発光スペクトル</w:t>
      </w:r>
      <w:r w:rsidR="00661CA7" w:rsidRPr="00674E1E">
        <w:rPr>
          <w:noProof/>
        </w:rPr>
        <w:lastRenderedPageBreak/>
        <w:drawing>
          <wp:anchor distT="0" distB="0" distL="114300" distR="114300" simplePos="0" relativeHeight="251645952" behindDoc="0" locked="0" layoutInCell="1" allowOverlap="1" wp14:anchorId="7FF9374A" wp14:editId="089F3C13">
            <wp:simplePos x="0" y="0"/>
            <wp:positionH relativeFrom="margin">
              <wp:posOffset>2143125</wp:posOffset>
            </wp:positionH>
            <wp:positionV relativeFrom="margin">
              <wp:posOffset>38100</wp:posOffset>
            </wp:positionV>
            <wp:extent cx="3230245" cy="133286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0245" cy="1332865"/>
                    </a:xfrm>
                    <a:prstGeom prst="rect">
                      <a:avLst/>
                    </a:prstGeom>
                    <a:noFill/>
                    <a:ln>
                      <a:noFill/>
                    </a:ln>
                  </pic:spPr>
                </pic:pic>
              </a:graphicData>
            </a:graphic>
          </wp:anchor>
        </w:drawing>
      </w:r>
      <w:r>
        <w:rPr>
          <w:rFonts w:hint="eastAsia"/>
        </w:rPr>
        <w:t>の測定である。</w:t>
      </w:r>
      <w:r w:rsidR="00D41077">
        <w:rPr>
          <w:rFonts w:hint="eastAsia"/>
        </w:rPr>
        <w:t>これは和周波発生という非線形光学現象を用いてゲート光と呼ばれるパルスで蛍光の時間変化を検出するものである。</w:t>
      </w:r>
    </w:p>
    <w:p w14:paraId="582348E3" w14:textId="3CDAB1CF" w:rsidR="00915F18" w:rsidRDefault="00661CA7">
      <w:r w:rsidRPr="00674E1E">
        <w:rPr>
          <w:rFonts w:hint="eastAsia"/>
          <w:noProof/>
        </w:rPr>
        <w:drawing>
          <wp:anchor distT="0" distB="0" distL="114300" distR="114300" simplePos="0" relativeHeight="251661312" behindDoc="0" locked="0" layoutInCell="1" allowOverlap="1" wp14:anchorId="0F3FF40D" wp14:editId="5FD0699C">
            <wp:simplePos x="0" y="0"/>
            <wp:positionH relativeFrom="margin">
              <wp:posOffset>2225040</wp:posOffset>
            </wp:positionH>
            <wp:positionV relativeFrom="margin">
              <wp:posOffset>1464310</wp:posOffset>
            </wp:positionV>
            <wp:extent cx="2974975" cy="2789555"/>
            <wp:effectExtent l="0" t="0" r="0" b="444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4975" cy="2789555"/>
                    </a:xfrm>
                    <a:prstGeom prst="rect">
                      <a:avLst/>
                    </a:prstGeom>
                    <a:noFill/>
                    <a:ln>
                      <a:noFill/>
                    </a:ln>
                  </pic:spPr>
                </pic:pic>
              </a:graphicData>
            </a:graphic>
          </wp:anchor>
        </w:drawing>
      </w:r>
      <w:r w:rsidR="00E35CCE">
        <w:rPr>
          <w:rFonts w:hint="eastAsia"/>
        </w:rPr>
        <w:t xml:space="preserve">　実験結果は次のようになっている。</w:t>
      </w:r>
      <w:r w:rsidR="006D6C6B">
        <w:rPr>
          <w:rFonts w:hint="eastAsia"/>
        </w:rPr>
        <w:t>この図は試料励起後の蛍光強度の時間変化を示している。</w:t>
      </w:r>
      <w:r w:rsidR="009A4FF5">
        <w:rPr>
          <w:rFonts w:hint="eastAsia"/>
        </w:rPr>
        <w:t>励起は</w:t>
      </w:r>
      <w:r w:rsidR="006D6C6B">
        <w:t>B800</w:t>
      </w:r>
      <w:r w:rsidR="006D6C6B">
        <w:rPr>
          <w:rFonts w:hint="eastAsia"/>
        </w:rPr>
        <w:t>を選択的に励起し、観測波長は</w:t>
      </w:r>
      <w:r w:rsidR="006D6C6B">
        <w:t>B850</w:t>
      </w:r>
      <w:r w:rsidR="006D6C6B">
        <w:rPr>
          <w:rFonts w:hint="eastAsia"/>
        </w:rPr>
        <w:t>の蛍光（</w:t>
      </w:r>
      <w:r w:rsidR="006D6C6B">
        <w:t>900 nm</w:t>
      </w:r>
      <w:r w:rsidR="006D6C6B">
        <w:rPr>
          <w:rFonts w:hint="eastAsia"/>
        </w:rPr>
        <w:t>）である。励起直後</w:t>
      </w:r>
      <w:r w:rsidR="007922D8">
        <w:rPr>
          <w:rFonts w:hint="eastAsia"/>
        </w:rPr>
        <w:t>で</w:t>
      </w:r>
      <w:r w:rsidR="006D6C6B">
        <w:rPr>
          <w:rFonts w:hint="eastAsia"/>
        </w:rPr>
        <w:t>は</w:t>
      </w:r>
      <w:r w:rsidR="007922D8">
        <w:rPr>
          <w:rFonts w:hint="eastAsia"/>
        </w:rPr>
        <w:t>蛍光が</w:t>
      </w:r>
      <w:r w:rsidR="00ED04AE">
        <w:rPr>
          <w:rFonts w:hint="eastAsia"/>
        </w:rPr>
        <w:t>観測されないが、</w:t>
      </w:r>
      <w:r w:rsidR="00915F18">
        <w:rPr>
          <w:rFonts w:hint="eastAsia"/>
        </w:rPr>
        <w:t>エネルギー移動に伴って</w:t>
      </w:r>
      <w:r w:rsidR="00377B43">
        <w:rPr>
          <w:rFonts w:hint="eastAsia"/>
        </w:rPr>
        <w:t>、</w:t>
      </w:r>
      <w:r w:rsidR="00377B43">
        <w:rPr>
          <w:rFonts w:hint="eastAsia"/>
        </w:rPr>
        <w:t>B850</w:t>
      </w:r>
      <w:r w:rsidR="00377B43">
        <w:rPr>
          <w:rFonts w:hint="eastAsia"/>
        </w:rPr>
        <w:t>による</w:t>
      </w:r>
      <w:r w:rsidR="00B8010E">
        <w:rPr>
          <w:rFonts w:hint="eastAsia"/>
        </w:rPr>
        <w:t>蛍光が立ち上がってくるのが分かる。ライズの時定数は</w:t>
      </w:r>
      <w:r w:rsidR="00B8010E">
        <w:t>650 fs</w:t>
      </w:r>
      <w:r w:rsidR="00B8010E">
        <w:rPr>
          <w:rFonts w:hint="eastAsia"/>
        </w:rPr>
        <w:t>で、</w:t>
      </w:r>
      <w:r w:rsidR="00B8010E">
        <w:t>B800</w:t>
      </w:r>
      <w:r w:rsidR="00B8010E">
        <w:rPr>
          <w:rFonts w:hint="eastAsia"/>
        </w:rPr>
        <w:t>から</w:t>
      </w:r>
      <w:r w:rsidR="00B8010E">
        <w:t>B850</w:t>
      </w:r>
      <w:r w:rsidR="00B8010E">
        <w:rPr>
          <w:rFonts w:hint="eastAsia"/>
        </w:rPr>
        <w:t>へエネルギー移動が超高速におこっていることが分かる。</w:t>
      </w:r>
    </w:p>
    <w:p w14:paraId="65EC23FB" w14:textId="4685E8E1" w:rsidR="00B8010E" w:rsidRDefault="00B8010E"/>
    <w:p w14:paraId="6CA96AE6" w14:textId="45D5DEBD" w:rsidR="00674E1E" w:rsidRDefault="00674E1E"/>
    <w:p w14:paraId="3A76F9D5" w14:textId="454CACEB" w:rsidR="00D33627" w:rsidRDefault="00D33627"/>
    <w:p w14:paraId="23A74A16" w14:textId="755C71B1" w:rsidR="00D33627" w:rsidRPr="005108B9" w:rsidRDefault="005108B9" w:rsidP="005108B9">
      <w:pPr>
        <w:widowControl/>
        <w:jc w:val="left"/>
      </w:pPr>
      <w:r w:rsidRPr="00BD675F">
        <w:rPr>
          <w:rFonts w:hint="eastAsia"/>
          <w:noProof/>
        </w:rPr>
        <w:drawing>
          <wp:anchor distT="0" distB="0" distL="114300" distR="114300" simplePos="0" relativeHeight="251693056" behindDoc="0" locked="0" layoutInCell="1" allowOverlap="1" wp14:anchorId="3CD3E2DB" wp14:editId="5970752A">
            <wp:simplePos x="0" y="0"/>
            <wp:positionH relativeFrom="margin">
              <wp:posOffset>2844165</wp:posOffset>
            </wp:positionH>
            <wp:positionV relativeFrom="margin">
              <wp:posOffset>4561840</wp:posOffset>
            </wp:positionV>
            <wp:extent cx="2529205" cy="1528445"/>
            <wp:effectExtent l="0" t="0" r="444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9205"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627">
        <w:rPr>
          <w:rFonts w:hint="eastAsia"/>
          <w:u w:val="single"/>
        </w:rPr>
        <w:t>光合成の応用例</w:t>
      </w:r>
    </w:p>
    <w:p w14:paraId="09D426F4" w14:textId="45ECE85F" w:rsidR="00674E1E" w:rsidRDefault="00D33627">
      <w:r>
        <w:rPr>
          <w:rFonts w:hint="eastAsia"/>
        </w:rPr>
        <w:t xml:space="preserve">　光合成</w:t>
      </w:r>
      <w:r w:rsidR="006763BB">
        <w:rPr>
          <w:rFonts w:hint="eastAsia"/>
        </w:rPr>
        <w:t>の</w:t>
      </w:r>
      <w:r w:rsidR="0096129F">
        <w:rPr>
          <w:rFonts w:hint="eastAsia"/>
        </w:rPr>
        <w:t>応用例として、光合成反応を模倣した光触媒反応を示す。この反応では、光合成における「</w:t>
      </w:r>
      <w:r w:rsidR="006763BB">
        <w:rPr>
          <w:rFonts w:hint="eastAsia"/>
        </w:rPr>
        <w:t>Z</w:t>
      </w:r>
      <w:r w:rsidR="006763BB">
        <w:rPr>
          <w:rFonts w:hint="eastAsia"/>
        </w:rPr>
        <w:t>スキーム</w:t>
      </w:r>
      <w:r w:rsidR="0096129F">
        <w:rPr>
          <w:rFonts w:hint="eastAsia"/>
        </w:rPr>
        <w:t>」と呼ばれる、二段階の光捕集</w:t>
      </w:r>
      <w:r w:rsidR="00E77B3F">
        <w:rPr>
          <w:rFonts w:hint="eastAsia"/>
        </w:rPr>
        <w:t>プロセス</w:t>
      </w:r>
      <w:r w:rsidR="0096129F">
        <w:rPr>
          <w:rFonts w:hint="eastAsia"/>
        </w:rPr>
        <w:t>を模倣し</w:t>
      </w:r>
      <w:r w:rsidR="007012E3">
        <w:rPr>
          <w:rFonts w:hint="eastAsia"/>
        </w:rPr>
        <w:t>て</w:t>
      </w:r>
      <w:r w:rsidR="001C6FEE">
        <w:rPr>
          <w:rFonts w:hint="eastAsia"/>
        </w:rPr>
        <w:t>いる。</w:t>
      </w:r>
      <w:r w:rsidR="00E77B3F">
        <w:rPr>
          <w:rFonts w:hint="eastAsia"/>
        </w:rPr>
        <w:t>金属錯体と高分子をブレンドした電極を用いて二酸化炭素の還元を行っている。ギ酸の生成選択性は</w:t>
      </w:r>
      <w:r w:rsidR="00E77B3F">
        <w:rPr>
          <w:rFonts w:hint="eastAsia"/>
        </w:rPr>
        <w:t>70%</w:t>
      </w:r>
      <w:r w:rsidR="00E77B3F">
        <w:rPr>
          <w:rFonts w:hint="eastAsia"/>
        </w:rPr>
        <w:t>で</w:t>
      </w:r>
      <w:r w:rsidR="00331C84">
        <w:rPr>
          <w:rFonts w:hint="eastAsia"/>
        </w:rPr>
        <w:t>、</w:t>
      </w:r>
      <w:r w:rsidR="00E77B3F">
        <w:rPr>
          <w:rFonts w:hint="eastAsia"/>
        </w:rPr>
        <w:t>太陽光変換効率は</w:t>
      </w:r>
      <w:r w:rsidR="00E77B3F">
        <w:rPr>
          <w:rFonts w:hint="eastAsia"/>
        </w:rPr>
        <w:t>0.03-0.04 %</w:t>
      </w:r>
      <w:r w:rsidR="00E77B3F">
        <w:rPr>
          <w:rFonts w:hint="eastAsia"/>
        </w:rPr>
        <w:t>とまだまだ低いが、</w:t>
      </w:r>
      <w:r w:rsidR="001C6FEE">
        <w:rPr>
          <w:rFonts w:hint="eastAsia"/>
        </w:rPr>
        <w:t>天然の光合成のように光エネルギーを利用して水と二酸化炭素から酸素とギ酸を作り出してい</w:t>
      </w:r>
      <w:r w:rsidR="00E77B3F">
        <w:rPr>
          <w:rFonts w:hint="eastAsia"/>
        </w:rPr>
        <w:t>るという点で大きな進歩であると言える</w:t>
      </w:r>
      <w:r w:rsidR="001C6FEE">
        <w:rPr>
          <w:rFonts w:hint="eastAsia"/>
        </w:rPr>
        <w:t>。</w:t>
      </w:r>
    </w:p>
    <w:p w14:paraId="2AE724A0" w14:textId="515014EF" w:rsidR="00674E1E" w:rsidRPr="004C0C8B" w:rsidRDefault="00674E1E"/>
    <w:p w14:paraId="0074DAA2" w14:textId="2DE05DD8" w:rsidR="00A446E8" w:rsidRDefault="0050587C">
      <w:r w:rsidRPr="004C0C8B">
        <w:t xml:space="preserve">Melih K. Sener, et al., </w:t>
      </w:r>
      <w:r w:rsidRPr="004A400D">
        <w:rPr>
          <w:i/>
        </w:rPr>
        <w:t>Proc. Natl. Acad. Sci.</w:t>
      </w:r>
      <w:r w:rsidRPr="004C0C8B">
        <w:t xml:space="preserve">, </w:t>
      </w:r>
      <w:r w:rsidR="00253B9E">
        <w:rPr>
          <w:b/>
        </w:rPr>
        <w:t>20</w:t>
      </w:r>
      <w:r w:rsidR="00253B9E">
        <w:rPr>
          <w:rFonts w:hint="eastAsia"/>
          <w:b/>
        </w:rPr>
        <w:t>07</w:t>
      </w:r>
      <w:bookmarkStart w:id="0" w:name="_GoBack"/>
      <w:bookmarkEnd w:id="0"/>
      <w:r w:rsidR="004A400D">
        <w:t xml:space="preserve">, </w:t>
      </w:r>
      <w:r w:rsidR="004A400D" w:rsidRPr="004A400D">
        <w:rPr>
          <w:i/>
        </w:rPr>
        <w:t>104</w:t>
      </w:r>
      <w:r w:rsidR="004A400D">
        <w:t>, 15723</w:t>
      </w:r>
      <w:r w:rsidRPr="004C0C8B">
        <w:t>.</w:t>
      </w:r>
    </w:p>
    <w:p w14:paraId="1DF4176D" w14:textId="38BDE2A4" w:rsidR="00D1201D" w:rsidRDefault="00D1201D">
      <w:r w:rsidRPr="00D1201D">
        <w:t>Ralph Jimenez</w:t>
      </w:r>
      <w:r>
        <w:t xml:space="preserve"> et al.,</w:t>
      </w:r>
      <w:r w:rsidRPr="00D1201D">
        <w:t xml:space="preserve"> </w:t>
      </w:r>
      <w:r w:rsidRPr="004A400D">
        <w:rPr>
          <w:i/>
        </w:rPr>
        <w:t>J. Phys. Chem.</w:t>
      </w:r>
      <w:r w:rsidR="004A400D">
        <w:t xml:space="preserve">, </w:t>
      </w:r>
      <w:r w:rsidR="004A400D" w:rsidRPr="004A400D">
        <w:rPr>
          <w:b/>
        </w:rPr>
        <w:t>1996</w:t>
      </w:r>
      <w:r w:rsidR="004A400D">
        <w:t xml:space="preserve">, </w:t>
      </w:r>
      <w:r w:rsidR="004A400D" w:rsidRPr="004A400D">
        <w:rPr>
          <w:i/>
        </w:rPr>
        <w:t>100</w:t>
      </w:r>
      <w:r w:rsidR="004A400D">
        <w:t>, 6825.</w:t>
      </w:r>
    </w:p>
    <w:p w14:paraId="094E54BA" w14:textId="73CF1A6D" w:rsidR="00BD675F" w:rsidRDefault="00BD675F">
      <w:r w:rsidRPr="00BD675F">
        <w:t xml:space="preserve">Shunsuke Sato </w:t>
      </w:r>
      <w:r>
        <w:rPr>
          <w:rFonts w:hint="eastAsia"/>
        </w:rPr>
        <w:t>et al.,</w:t>
      </w:r>
      <w:r>
        <w:t xml:space="preserve"> </w:t>
      </w:r>
      <w:r w:rsidRPr="00BD675F">
        <w:rPr>
          <w:i/>
        </w:rPr>
        <w:t>J. Am. Chem. Soc.</w:t>
      </w:r>
      <w:r w:rsidRPr="00BD675F">
        <w:t xml:space="preserve">, </w:t>
      </w:r>
      <w:r w:rsidRPr="00BD675F">
        <w:rPr>
          <w:b/>
        </w:rPr>
        <w:t>2011</w:t>
      </w:r>
      <w:r w:rsidRPr="00BD675F">
        <w:t xml:space="preserve">, </w:t>
      </w:r>
      <w:r w:rsidRPr="00BD675F">
        <w:rPr>
          <w:i/>
        </w:rPr>
        <w:t>133</w:t>
      </w:r>
      <w:r w:rsidRPr="00BD675F">
        <w:t>, 15240</w:t>
      </w:r>
      <w:r>
        <w:t>.</w:t>
      </w:r>
    </w:p>
    <w:p w14:paraId="273402D6" w14:textId="666D7C25" w:rsidR="005841CF" w:rsidRPr="004C0C8B" w:rsidRDefault="005841CF">
      <w:r w:rsidRPr="004C0C8B">
        <w:t>図は</w:t>
      </w:r>
      <w:r w:rsidRPr="004C0C8B">
        <w:t>Protein Data Bank ID (1NKZ) (1PYH)</w:t>
      </w:r>
      <w:r w:rsidRPr="004C0C8B">
        <w:t>より作成</w:t>
      </w:r>
    </w:p>
    <w:sectPr w:rsidR="005841CF" w:rsidRPr="004C0C8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F77E68" w14:textId="77777777" w:rsidR="0070417A" w:rsidRDefault="0070417A" w:rsidP="00185FB9">
      <w:r>
        <w:separator/>
      </w:r>
    </w:p>
  </w:endnote>
  <w:endnote w:type="continuationSeparator" w:id="0">
    <w:p w14:paraId="22DB2280" w14:textId="77777777" w:rsidR="0070417A" w:rsidRDefault="0070417A" w:rsidP="00185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ヒラギノ角ゴ ProN W3">
    <w:charset w:val="4E"/>
    <w:family w:val="auto"/>
    <w:pitch w:val="variable"/>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33192" w14:textId="77777777" w:rsidR="0070417A" w:rsidRDefault="0070417A" w:rsidP="00185FB9">
      <w:r>
        <w:separator/>
      </w:r>
    </w:p>
  </w:footnote>
  <w:footnote w:type="continuationSeparator" w:id="0">
    <w:p w14:paraId="2DE146A6" w14:textId="77777777" w:rsidR="0070417A" w:rsidRDefault="0070417A" w:rsidP="00185F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3B6DBE"/>
    <w:multiLevelType w:val="multilevel"/>
    <w:tmpl w:val="4C92F056"/>
    <w:lvl w:ilvl="0">
      <w:start w:val="1"/>
      <w:numFmt w:val="decimal"/>
      <w:lvlText w:val="(1.%1)"/>
      <w:lvlJc w:val="left"/>
      <w:pPr>
        <w:ind w:left="425" w:hanging="425"/>
      </w:pPr>
      <w:rPr>
        <w:rFonts w:hint="eastAsia"/>
      </w:rPr>
    </w:lvl>
    <w:lvl w:ilvl="1">
      <w:start w:val="1"/>
      <w:numFmt w:val="decimal"/>
      <w:lvlText w:val="(2.%2)"/>
      <w:lvlJc w:val="left"/>
      <w:pPr>
        <w:ind w:left="992" w:hanging="992"/>
      </w:pPr>
      <w:rPr>
        <w:rFonts w:hint="eastAsia"/>
      </w:rPr>
    </w:lvl>
    <w:lvl w:ilvl="2">
      <w:start w:val="1"/>
      <w:numFmt w:val="decimal"/>
      <w:lvlText w:val="(3.%3)"/>
      <w:lvlJc w:val="left"/>
      <w:pPr>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AEC"/>
    <w:rsid w:val="00060099"/>
    <w:rsid w:val="000713F5"/>
    <w:rsid w:val="000972D4"/>
    <w:rsid w:val="000A7161"/>
    <w:rsid w:val="001120AF"/>
    <w:rsid w:val="00153463"/>
    <w:rsid w:val="00185FB9"/>
    <w:rsid w:val="00190E3D"/>
    <w:rsid w:val="001C6FEE"/>
    <w:rsid w:val="00246D43"/>
    <w:rsid w:val="00253B9E"/>
    <w:rsid w:val="00254DEC"/>
    <w:rsid w:val="002A34B7"/>
    <w:rsid w:val="002C24A2"/>
    <w:rsid w:val="002E1747"/>
    <w:rsid w:val="002F2A61"/>
    <w:rsid w:val="0032322E"/>
    <w:rsid w:val="00323980"/>
    <w:rsid w:val="00331C84"/>
    <w:rsid w:val="003621C0"/>
    <w:rsid w:val="00377B43"/>
    <w:rsid w:val="003C171B"/>
    <w:rsid w:val="003D30BB"/>
    <w:rsid w:val="00436508"/>
    <w:rsid w:val="00443677"/>
    <w:rsid w:val="00443FB7"/>
    <w:rsid w:val="00497E8E"/>
    <w:rsid w:val="004A081B"/>
    <w:rsid w:val="004A3B6A"/>
    <w:rsid w:val="004A400D"/>
    <w:rsid w:val="004B54CD"/>
    <w:rsid w:val="004C0C8B"/>
    <w:rsid w:val="004E6B59"/>
    <w:rsid w:val="0050587C"/>
    <w:rsid w:val="005108B9"/>
    <w:rsid w:val="0051429F"/>
    <w:rsid w:val="00564EEE"/>
    <w:rsid w:val="005841CF"/>
    <w:rsid w:val="00584BD9"/>
    <w:rsid w:val="00584DD4"/>
    <w:rsid w:val="005C5CB1"/>
    <w:rsid w:val="00661CA7"/>
    <w:rsid w:val="00674E1E"/>
    <w:rsid w:val="006763BB"/>
    <w:rsid w:val="006A340C"/>
    <w:rsid w:val="006C4C46"/>
    <w:rsid w:val="006D6C6B"/>
    <w:rsid w:val="006E7EAD"/>
    <w:rsid w:val="007012E3"/>
    <w:rsid w:val="0070417A"/>
    <w:rsid w:val="00754AEC"/>
    <w:rsid w:val="007922D8"/>
    <w:rsid w:val="007A0537"/>
    <w:rsid w:val="007F3C01"/>
    <w:rsid w:val="008375A2"/>
    <w:rsid w:val="008D1F17"/>
    <w:rsid w:val="00915F18"/>
    <w:rsid w:val="0096129F"/>
    <w:rsid w:val="00971CBD"/>
    <w:rsid w:val="009A0E8A"/>
    <w:rsid w:val="009A4FF5"/>
    <w:rsid w:val="00A0234A"/>
    <w:rsid w:val="00A1112B"/>
    <w:rsid w:val="00A446E8"/>
    <w:rsid w:val="00A558F6"/>
    <w:rsid w:val="00A8450E"/>
    <w:rsid w:val="00AC0BCF"/>
    <w:rsid w:val="00AC3AE7"/>
    <w:rsid w:val="00AD6748"/>
    <w:rsid w:val="00AF09B1"/>
    <w:rsid w:val="00AF69F4"/>
    <w:rsid w:val="00B135D2"/>
    <w:rsid w:val="00B14D91"/>
    <w:rsid w:val="00B8010E"/>
    <w:rsid w:val="00B86A8B"/>
    <w:rsid w:val="00B90400"/>
    <w:rsid w:val="00BB394B"/>
    <w:rsid w:val="00BB51D4"/>
    <w:rsid w:val="00BD675F"/>
    <w:rsid w:val="00BE6F83"/>
    <w:rsid w:val="00C5377D"/>
    <w:rsid w:val="00C603AF"/>
    <w:rsid w:val="00C829C3"/>
    <w:rsid w:val="00C90269"/>
    <w:rsid w:val="00CA0829"/>
    <w:rsid w:val="00CA183C"/>
    <w:rsid w:val="00CB0B13"/>
    <w:rsid w:val="00D07C34"/>
    <w:rsid w:val="00D1201D"/>
    <w:rsid w:val="00D17178"/>
    <w:rsid w:val="00D210B7"/>
    <w:rsid w:val="00D33627"/>
    <w:rsid w:val="00D41077"/>
    <w:rsid w:val="00DE1C7C"/>
    <w:rsid w:val="00DF55B0"/>
    <w:rsid w:val="00E161DD"/>
    <w:rsid w:val="00E2391D"/>
    <w:rsid w:val="00E35CCE"/>
    <w:rsid w:val="00E576B4"/>
    <w:rsid w:val="00E64A7D"/>
    <w:rsid w:val="00E77B3F"/>
    <w:rsid w:val="00EA64D8"/>
    <w:rsid w:val="00EA7D91"/>
    <w:rsid w:val="00ED04AE"/>
    <w:rsid w:val="00EE0BE3"/>
    <w:rsid w:val="00EF646A"/>
    <w:rsid w:val="00F86337"/>
    <w:rsid w:val="00FB2ECD"/>
    <w:rsid w:val="00FD43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19A00E45"/>
  <w15:docId w15:val="{3CBFF7A4-ED26-4A52-B7D6-0DE5602ED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ndnote reference"/>
    <w:basedOn w:val="a0"/>
    <w:uiPriority w:val="99"/>
    <w:semiHidden/>
    <w:unhideWhenUsed/>
    <w:rsid w:val="00185FB9"/>
    <w:rPr>
      <w:vertAlign w:val="superscript"/>
    </w:rPr>
  </w:style>
  <w:style w:type="paragraph" w:customStyle="1" w:styleId="1">
    <w:name w:val="スタイル1"/>
    <w:basedOn w:val="a"/>
    <w:next w:val="a"/>
    <w:link w:val="10"/>
    <w:qFormat/>
    <w:rsid w:val="00185FB9"/>
    <w:rPr>
      <w:rFonts w:eastAsiaTheme="minorEastAsia" w:cstheme="minorBidi"/>
      <w:szCs w:val="22"/>
    </w:rPr>
  </w:style>
  <w:style w:type="character" w:styleId="a4">
    <w:name w:val="Subtle Reference"/>
    <w:basedOn w:val="a0"/>
    <w:uiPriority w:val="31"/>
    <w:qFormat/>
    <w:rsid w:val="00185FB9"/>
    <w:rPr>
      <w:smallCaps/>
      <w:color w:val="5A5A5A" w:themeColor="text1" w:themeTint="A5"/>
    </w:rPr>
  </w:style>
  <w:style w:type="character" w:customStyle="1" w:styleId="10">
    <w:name w:val="スタイル1 (文字)"/>
    <w:basedOn w:val="a0"/>
    <w:link w:val="1"/>
    <w:rsid w:val="00185FB9"/>
    <w:rPr>
      <w:rFonts w:eastAsiaTheme="minorEastAsia" w:cstheme="minorBidi"/>
      <w:szCs w:val="22"/>
    </w:rPr>
  </w:style>
  <w:style w:type="paragraph" w:styleId="a5">
    <w:name w:val="List Paragraph"/>
    <w:basedOn w:val="a"/>
    <w:uiPriority w:val="34"/>
    <w:qFormat/>
    <w:rsid w:val="00185FB9"/>
    <w:pPr>
      <w:ind w:leftChars="400" w:left="840"/>
    </w:pPr>
    <w:rPr>
      <w:rFonts w:asciiTheme="minorHAnsi" w:eastAsiaTheme="minorEastAsia" w:hAnsiTheme="minorHAnsi" w:cstheme="minorBidi"/>
      <w:szCs w:val="22"/>
    </w:rPr>
  </w:style>
  <w:style w:type="table" w:styleId="a6">
    <w:name w:val="Table Grid"/>
    <w:basedOn w:val="a1"/>
    <w:uiPriority w:val="39"/>
    <w:rsid w:val="00185FB9"/>
    <w:rPr>
      <w:rFonts w:asciiTheme="minorHAnsi" w:eastAsiaTheme="minorEastAsia"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B14D91"/>
    <w:rPr>
      <w:rFonts w:ascii="ヒラギノ角ゴ ProN W3" w:eastAsia="ヒラギノ角ゴ ProN W3"/>
      <w:sz w:val="18"/>
      <w:szCs w:val="18"/>
    </w:rPr>
  </w:style>
  <w:style w:type="character" w:customStyle="1" w:styleId="a8">
    <w:name w:val="吹き出し (文字)"/>
    <w:basedOn w:val="a0"/>
    <w:link w:val="a7"/>
    <w:uiPriority w:val="99"/>
    <w:semiHidden/>
    <w:rsid w:val="00B14D91"/>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9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0C453-D61C-4EA8-8889-0FA7F9E58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1627</TotalTime>
  <Pages>1</Pages>
  <Words>464</Words>
  <Characters>2648</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YUSUKE</dc:creator>
  <cp:keywords/>
  <dc:description/>
  <cp:lastModifiedBy>三木雅仁</cp:lastModifiedBy>
  <cp:revision>88</cp:revision>
  <dcterms:created xsi:type="dcterms:W3CDTF">2014-05-31T12:33:00Z</dcterms:created>
  <dcterms:modified xsi:type="dcterms:W3CDTF">2014-07-16T12:05:00Z</dcterms:modified>
</cp:coreProperties>
</file>